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14F15" w14:textId="5C46F9B1" w:rsidR="00BA27A0" w:rsidRDefault="00F13E8B" w:rsidP="00F13E8B">
      <w:pPr>
        <w:spacing w:after="0" w:line="265" w:lineRule="auto"/>
        <w:jc w:val="center"/>
        <w:rPr>
          <w:rFonts w:ascii="Titillium" w:eastAsia="Times New Roman" w:hAnsi="Titillium" w:cs="Times New Roman"/>
          <w:b/>
          <w:sz w:val="20"/>
        </w:rPr>
      </w:pPr>
      <w:r>
        <w:rPr>
          <w:rFonts w:ascii="Titillium" w:eastAsia="Times New Roman" w:hAnsi="Titillium" w:cs="Times New Roman"/>
          <w:b/>
          <w:noProof/>
          <w:sz w:val="20"/>
        </w:rPr>
        <w:drawing>
          <wp:inline distT="0" distB="0" distL="0" distR="0" wp14:anchorId="0698C48C" wp14:editId="266C6E75">
            <wp:extent cx="1704975" cy="1704975"/>
            <wp:effectExtent l="0" t="0" r="9525" b="9525"/>
            <wp:docPr id="83152959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147452A5" w14:textId="79764210" w:rsidR="00095A92" w:rsidRPr="00580FE5" w:rsidRDefault="00095A92" w:rsidP="00F13E8B">
      <w:pPr>
        <w:spacing w:after="0" w:line="265" w:lineRule="auto"/>
        <w:rPr>
          <w:rFonts w:ascii="Titillium" w:hAnsi="Titillium"/>
        </w:rPr>
      </w:pPr>
      <w:r w:rsidRPr="00580FE5">
        <w:rPr>
          <w:rFonts w:ascii="Titillium" w:eastAsia="Times New Roman" w:hAnsi="Titillium" w:cs="Times New Roman"/>
          <w:b/>
          <w:sz w:val="20"/>
        </w:rPr>
        <w:t xml:space="preserve">Stan na dzień sporządzenia prospektu informacyjnego </w:t>
      </w:r>
    </w:p>
    <w:p w14:paraId="4D933AF0" w14:textId="511D9C2A" w:rsidR="00095A92" w:rsidRDefault="00102B07" w:rsidP="00102B07">
      <w:pPr>
        <w:spacing w:after="364" w:line="248" w:lineRule="auto"/>
        <w:ind w:right="1461"/>
        <w:rPr>
          <w:rFonts w:ascii="Titillium" w:eastAsia="Times New Roman" w:hAnsi="Titillium" w:cs="Times New Roman"/>
          <w:b/>
          <w:bCs/>
          <w:sz w:val="18"/>
        </w:rPr>
      </w:pPr>
      <w:r w:rsidRPr="00580FE5">
        <w:rPr>
          <w:rFonts w:ascii="Titillium" w:eastAsia="Times New Roman" w:hAnsi="Titillium" w:cs="Times New Roman"/>
          <w:sz w:val="18"/>
        </w:rPr>
        <w:t xml:space="preserve">Data sporządzenia </w:t>
      </w:r>
      <w:r w:rsidRPr="00C64D58">
        <w:rPr>
          <w:rFonts w:ascii="Titillium" w:eastAsia="Times New Roman" w:hAnsi="Titillium" w:cs="Times New Roman"/>
          <w:sz w:val="18"/>
        </w:rPr>
        <w:t xml:space="preserve">prospektu </w:t>
      </w:r>
      <w:r w:rsidR="004717D2">
        <w:rPr>
          <w:rFonts w:ascii="Titillium" w:eastAsia="Times New Roman" w:hAnsi="Titillium" w:cs="Times New Roman"/>
          <w:b/>
          <w:bCs/>
          <w:sz w:val="18"/>
        </w:rPr>
        <w:t>20</w:t>
      </w:r>
      <w:r w:rsidRPr="00C64D58">
        <w:rPr>
          <w:rFonts w:ascii="Titillium" w:eastAsia="Times New Roman" w:hAnsi="Titillium" w:cs="Times New Roman"/>
          <w:b/>
          <w:bCs/>
          <w:sz w:val="18"/>
        </w:rPr>
        <w:t>.</w:t>
      </w:r>
      <w:r w:rsidR="00F713B3" w:rsidRPr="00C64D58">
        <w:rPr>
          <w:rFonts w:ascii="Titillium" w:eastAsia="Times New Roman" w:hAnsi="Titillium" w:cs="Times New Roman"/>
          <w:b/>
          <w:bCs/>
          <w:sz w:val="18"/>
        </w:rPr>
        <w:t>0</w:t>
      </w:r>
      <w:r w:rsidR="00B27969">
        <w:rPr>
          <w:rFonts w:ascii="Titillium" w:eastAsia="Times New Roman" w:hAnsi="Titillium" w:cs="Times New Roman"/>
          <w:b/>
          <w:bCs/>
          <w:sz w:val="18"/>
        </w:rPr>
        <w:t>8</w:t>
      </w:r>
      <w:r w:rsidRPr="00C64D58">
        <w:rPr>
          <w:rFonts w:ascii="Titillium" w:eastAsia="Times New Roman" w:hAnsi="Titillium" w:cs="Times New Roman"/>
          <w:b/>
          <w:bCs/>
          <w:sz w:val="18"/>
        </w:rPr>
        <w:t>.202</w:t>
      </w:r>
      <w:r w:rsidR="00FE6BC8" w:rsidRPr="00C64D58">
        <w:rPr>
          <w:rFonts w:ascii="Titillium" w:eastAsia="Times New Roman" w:hAnsi="Titillium" w:cs="Times New Roman"/>
          <w:b/>
          <w:bCs/>
          <w:sz w:val="18"/>
        </w:rPr>
        <w:t>5</w:t>
      </w:r>
      <w:r w:rsidRPr="00C64D58">
        <w:rPr>
          <w:rFonts w:ascii="Titillium" w:eastAsia="Times New Roman" w:hAnsi="Titillium" w:cs="Times New Roman"/>
          <w:b/>
          <w:bCs/>
          <w:sz w:val="18"/>
        </w:rPr>
        <w:t>r.</w:t>
      </w:r>
    </w:p>
    <w:p w14:paraId="4D212D6F" w14:textId="07FAB585" w:rsidR="00102B07" w:rsidRDefault="00095A92" w:rsidP="000C7D6E">
      <w:pPr>
        <w:pStyle w:val="Nagwek1"/>
        <w:spacing w:after="125"/>
        <w:ind w:right="1"/>
        <w:rPr>
          <w:rFonts w:ascii="Titillium" w:hAnsi="Titillium"/>
        </w:rPr>
      </w:pPr>
      <w:r w:rsidRPr="00580FE5">
        <w:rPr>
          <w:rFonts w:ascii="Titillium" w:hAnsi="Titillium"/>
        </w:rPr>
        <w:t>PROSPEKT INFORMACYJNY</w:t>
      </w:r>
    </w:p>
    <w:p w14:paraId="4FCD26EF" w14:textId="291F4753" w:rsidR="00EA270F" w:rsidRPr="00EA270F" w:rsidRDefault="00EA270F" w:rsidP="00EA270F">
      <w:pPr>
        <w:jc w:val="center"/>
        <w:rPr>
          <w:rFonts w:ascii="Titillium" w:hAnsi="Titillium"/>
          <w:b/>
          <w:bCs/>
          <w:sz w:val="20"/>
          <w:szCs w:val="20"/>
          <w:lang w:eastAsia="pl-PL"/>
        </w:rPr>
      </w:pPr>
      <w:r w:rsidRPr="00EA270F">
        <w:rPr>
          <w:rFonts w:ascii="Titillium" w:hAnsi="Titillium"/>
          <w:b/>
          <w:bCs/>
          <w:sz w:val="20"/>
          <w:szCs w:val="20"/>
          <w:lang w:eastAsia="pl-PL"/>
        </w:rPr>
        <w:t>APARTAMENTY ŚRÓDMIEŚCIE</w:t>
      </w:r>
    </w:p>
    <w:p w14:paraId="501335C3" w14:textId="1EB10CF4" w:rsidR="00EA270F" w:rsidRPr="00534E1E" w:rsidRDefault="00EA270F" w:rsidP="00EA270F">
      <w:pPr>
        <w:pStyle w:val="Nagwek1"/>
        <w:spacing w:after="125"/>
        <w:ind w:right="1"/>
        <w:rPr>
          <w:rFonts w:ascii="Titillium" w:hAnsi="Titillium"/>
          <w:color w:val="auto"/>
        </w:rPr>
      </w:pPr>
      <w:r>
        <w:rPr>
          <w:rFonts w:ascii="Titillium" w:hAnsi="Titillium"/>
          <w:color w:val="auto"/>
        </w:rPr>
        <w:t>U</w:t>
      </w:r>
      <w:r w:rsidRPr="00534E1E">
        <w:rPr>
          <w:rFonts w:ascii="Titillium" w:hAnsi="Titillium"/>
          <w:color w:val="auto"/>
        </w:rPr>
        <w:t>L.</w:t>
      </w:r>
      <w:r w:rsidR="00D35D68">
        <w:rPr>
          <w:rFonts w:ascii="Titillium" w:hAnsi="Titillium"/>
          <w:color w:val="auto"/>
        </w:rPr>
        <w:t xml:space="preserve"> </w:t>
      </w:r>
      <w:r w:rsidR="00B86D20">
        <w:rPr>
          <w:rFonts w:ascii="Titillium" w:hAnsi="Titillium"/>
          <w:color w:val="auto"/>
        </w:rPr>
        <w:t>CZYSTA</w:t>
      </w:r>
      <w:r w:rsidRPr="00534E1E">
        <w:rPr>
          <w:rFonts w:ascii="Titillium" w:hAnsi="Titillium"/>
          <w:color w:val="auto"/>
        </w:rPr>
        <w:t xml:space="preserve">, BIAŁYSTOK </w:t>
      </w:r>
    </w:p>
    <w:p w14:paraId="447C44AD" w14:textId="6E636EC5" w:rsidR="00C844DB" w:rsidRPr="00C844DB" w:rsidRDefault="00095A92" w:rsidP="00C844DB">
      <w:pPr>
        <w:spacing w:after="165" w:line="265" w:lineRule="auto"/>
        <w:ind w:left="-5" w:hanging="10"/>
        <w:rPr>
          <w:rFonts w:ascii="Titillium" w:eastAsia="Times New Roman" w:hAnsi="Titillium" w:cs="Times New Roman"/>
          <w:b/>
          <w:sz w:val="20"/>
        </w:rPr>
      </w:pPr>
      <w:r w:rsidRPr="00580FE5">
        <w:rPr>
          <w:rFonts w:ascii="Titillium" w:eastAsia="Times New Roman" w:hAnsi="Titillium" w:cs="Times New Roman"/>
          <w:b/>
          <w:sz w:val="20"/>
        </w:rPr>
        <w:t xml:space="preserve">CZĘŚĆ OGÓLNA </w:t>
      </w:r>
    </w:p>
    <w:p w14:paraId="298CA239" w14:textId="516FC10D" w:rsidR="00095A92" w:rsidRPr="00580FE5" w:rsidRDefault="00095A92" w:rsidP="00580FE5">
      <w:pPr>
        <w:pStyle w:val="Akapitzlist"/>
        <w:numPr>
          <w:ilvl w:val="0"/>
          <w:numId w:val="8"/>
        </w:numPr>
        <w:spacing w:after="0" w:line="265" w:lineRule="auto"/>
        <w:rPr>
          <w:rFonts w:ascii="Titillium" w:hAnsi="Titillium"/>
        </w:rPr>
      </w:pPr>
      <w:r w:rsidRPr="00580FE5">
        <w:rPr>
          <w:rFonts w:ascii="Titillium" w:eastAsia="Times New Roman" w:hAnsi="Titillium" w:cs="Times New Roman"/>
          <w:b/>
          <w:sz w:val="20"/>
        </w:rPr>
        <w:t xml:space="preserve">DANE IDENTYFIKACYJNE I KONTAKTOWE DOTYCZĄCE DEWELOPERA </w:t>
      </w:r>
    </w:p>
    <w:tbl>
      <w:tblPr>
        <w:tblStyle w:val="TableGrid"/>
        <w:tblW w:w="9648" w:type="dxa"/>
        <w:tblInd w:w="109" w:type="dxa"/>
        <w:tblCellMar>
          <w:top w:w="191" w:type="dxa"/>
          <w:left w:w="107" w:type="dxa"/>
          <w:bottom w:w="155" w:type="dxa"/>
          <w:right w:w="63" w:type="dxa"/>
        </w:tblCellMar>
        <w:tblLook w:val="04A0" w:firstRow="1" w:lastRow="0" w:firstColumn="1" w:lastColumn="0" w:noHBand="0" w:noVBand="1"/>
      </w:tblPr>
      <w:tblGrid>
        <w:gridCol w:w="2987"/>
        <w:gridCol w:w="3242"/>
        <w:gridCol w:w="3419"/>
      </w:tblGrid>
      <w:tr w:rsidR="00095A92" w:rsidRPr="00580FE5" w14:paraId="03A0A8F5" w14:textId="77777777" w:rsidTr="00102B07">
        <w:trPr>
          <w:trHeight w:val="378"/>
        </w:trPr>
        <w:tc>
          <w:tcPr>
            <w:tcW w:w="2987" w:type="dxa"/>
            <w:tcBorders>
              <w:top w:val="single" w:sz="4" w:space="0" w:color="000000"/>
              <w:left w:val="single" w:sz="4" w:space="0" w:color="000000"/>
              <w:bottom w:val="single" w:sz="4" w:space="0" w:color="000000"/>
              <w:right w:val="nil"/>
            </w:tcBorders>
            <w:shd w:val="clear" w:color="auto" w:fill="E0E0E0"/>
          </w:tcPr>
          <w:p w14:paraId="13382466" w14:textId="77777777" w:rsidR="00095A92" w:rsidRPr="00580FE5" w:rsidRDefault="00095A92">
            <w:pPr>
              <w:rPr>
                <w:rFonts w:ascii="Titillium" w:hAnsi="Titillium"/>
              </w:rPr>
            </w:pPr>
            <w:r w:rsidRPr="00580FE5">
              <w:rPr>
                <w:rFonts w:ascii="Titillium" w:eastAsia="Times New Roman" w:hAnsi="Titillium" w:cs="Times New Roman"/>
                <w:b/>
                <w:sz w:val="20"/>
              </w:rPr>
              <w:t xml:space="preserve">DANE DEWELOPERA </w:t>
            </w:r>
          </w:p>
        </w:tc>
        <w:tc>
          <w:tcPr>
            <w:tcW w:w="6661" w:type="dxa"/>
            <w:gridSpan w:val="2"/>
            <w:tcBorders>
              <w:top w:val="single" w:sz="4" w:space="0" w:color="000000"/>
              <w:left w:val="nil"/>
              <w:bottom w:val="single" w:sz="4" w:space="0" w:color="000000"/>
              <w:right w:val="single" w:sz="4" w:space="0" w:color="000000"/>
            </w:tcBorders>
            <w:shd w:val="clear" w:color="auto" w:fill="E0E0E0"/>
          </w:tcPr>
          <w:p w14:paraId="6BD91FAA" w14:textId="77777777" w:rsidR="00095A92" w:rsidRPr="00580FE5" w:rsidRDefault="00095A92">
            <w:pPr>
              <w:rPr>
                <w:rFonts w:ascii="Titillium" w:hAnsi="Titillium"/>
              </w:rPr>
            </w:pPr>
          </w:p>
        </w:tc>
      </w:tr>
      <w:tr w:rsidR="00095A92" w:rsidRPr="00580FE5" w14:paraId="521B7644" w14:textId="77777777" w:rsidTr="0094108E">
        <w:trPr>
          <w:trHeight w:val="786"/>
        </w:trPr>
        <w:tc>
          <w:tcPr>
            <w:tcW w:w="2987" w:type="dxa"/>
            <w:tcBorders>
              <w:top w:val="single" w:sz="4" w:space="0" w:color="000000"/>
              <w:left w:val="single" w:sz="4" w:space="0" w:color="000000"/>
              <w:bottom w:val="single" w:sz="4" w:space="0" w:color="000000"/>
              <w:right w:val="single" w:sz="4" w:space="0" w:color="000000"/>
            </w:tcBorders>
            <w:shd w:val="clear" w:color="auto" w:fill="F3F3F3"/>
          </w:tcPr>
          <w:p w14:paraId="457E7D92" w14:textId="77777777" w:rsidR="00095A92" w:rsidRPr="00580FE5" w:rsidRDefault="00095A92">
            <w:pPr>
              <w:rPr>
                <w:rFonts w:ascii="Titillium" w:hAnsi="Titillium"/>
                <w:sz w:val="16"/>
                <w:szCs w:val="16"/>
              </w:rPr>
            </w:pPr>
            <w:r w:rsidRPr="00580FE5">
              <w:rPr>
                <w:rFonts w:ascii="Titillium" w:eastAsia="Times New Roman" w:hAnsi="Titillium" w:cs="Times New Roman"/>
                <w:sz w:val="16"/>
                <w:szCs w:val="16"/>
              </w:rPr>
              <w:t xml:space="preserve">Deweloper </w:t>
            </w:r>
          </w:p>
        </w:tc>
        <w:tc>
          <w:tcPr>
            <w:tcW w:w="6661" w:type="dxa"/>
            <w:gridSpan w:val="2"/>
            <w:tcBorders>
              <w:top w:val="single" w:sz="4" w:space="0" w:color="000000"/>
              <w:left w:val="single" w:sz="4" w:space="0" w:color="000000"/>
              <w:bottom w:val="single" w:sz="4" w:space="0" w:color="000000"/>
              <w:right w:val="single" w:sz="4" w:space="0" w:color="000000"/>
            </w:tcBorders>
            <w:vAlign w:val="bottom"/>
          </w:tcPr>
          <w:p w14:paraId="041FEE9B" w14:textId="77777777" w:rsidR="00102B07" w:rsidRPr="00580FE5" w:rsidRDefault="00102B07" w:rsidP="00102B07">
            <w:pPr>
              <w:jc w:val="center"/>
              <w:rPr>
                <w:rFonts w:ascii="Titillium" w:hAnsi="Titillium" w:cs="Arial"/>
                <w:sz w:val="16"/>
                <w:szCs w:val="16"/>
              </w:rPr>
            </w:pPr>
            <w:r w:rsidRPr="00580FE5">
              <w:rPr>
                <w:rFonts w:ascii="Titillium" w:hAnsi="Titillium" w:cs="Arial"/>
                <w:sz w:val="16"/>
                <w:szCs w:val="16"/>
              </w:rPr>
              <w:t xml:space="preserve">Przedsiębiorstwo </w:t>
            </w:r>
            <w:proofErr w:type="spellStart"/>
            <w:r w:rsidRPr="00580FE5">
              <w:rPr>
                <w:rFonts w:ascii="Titillium" w:hAnsi="Titillium" w:cs="Arial"/>
                <w:sz w:val="16"/>
                <w:szCs w:val="16"/>
              </w:rPr>
              <w:t>Produkcyjno</w:t>
            </w:r>
            <w:proofErr w:type="spellEnd"/>
            <w:r w:rsidRPr="00580FE5">
              <w:rPr>
                <w:rFonts w:ascii="Titillium" w:hAnsi="Titillium" w:cs="Arial"/>
                <w:sz w:val="16"/>
                <w:szCs w:val="16"/>
              </w:rPr>
              <w:t xml:space="preserve"> Usługowo Handlowe</w:t>
            </w:r>
          </w:p>
          <w:p w14:paraId="5811759E" w14:textId="77777777" w:rsidR="00102B07" w:rsidRPr="00580FE5" w:rsidRDefault="00102B07" w:rsidP="00102B07">
            <w:pPr>
              <w:jc w:val="center"/>
              <w:rPr>
                <w:rFonts w:ascii="Titillium" w:hAnsi="Titillium" w:cs="Arial"/>
                <w:sz w:val="16"/>
                <w:szCs w:val="16"/>
              </w:rPr>
            </w:pPr>
            <w:r w:rsidRPr="00580FE5">
              <w:rPr>
                <w:rFonts w:ascii="Titillium" w:hAnsi="Titillium" w:cs="Arial"/>
                <w:sz w:val="16"/>
                <w:szCs w:val="16"/>
              </w:rPr>
              <w:t>Kombinat Budowlany Spółka z o.o.</w:t>
            </w:r>
          </w:p>
          <w:p w14:paraId="30DA08EA" w14:textId="77777777" w:rsidR="00102B07" w:rsidRPr="00580FE5" w:rsidRDefault="00102B07" w:rsidP="00102B07">
            <w:pPr>
              <w:jc w:val="center"/>
              <w:rPr>
                <w:rFonts w:ascii="Titillium" w:hAnsi="Titillium" w:cs="Arial"/>
                <w:sz w:val="16"/>
                <w:szCs w:val="16"/>
              </w:rPr>
            </w:pPr>
            <w:r w:rsidRPr="00580FE5">
              <w:rPr>
                <w:rFonts w:ascii="Titillium" w:hAnsi="Titillium" w:cs="Arial"/>
                <w:sz w:val="16"/>
                <w:szCs w:val="16"/>
              </w:rPr>
              <w:t>KRS 0000035433 Sąd Rejonowy w Białymstoku</w:t>
            </w:r>
          </w:p>
          <w:p w14:paraId="20A41738" w14:textId="5299C626" w:rsidR="00095A92" w:rsidRPr="00580FE5" w:rsidRDefault="00095A92" w:rsidP="00102B07">
            <w:pPr>
              <w:ind w:left="2"/>
              <w:jc w:val="center"/>
              <w:rPr>
                <w:rFonts w:ascii="Titillium" w:hAnsi="Titillium"/>
                <w:sz w:val="12"/>
                <w:szCs w:val="12"/>
              </w:rPr>
            </w:pPr>
            <w:r w:rsidRPr="00580FE5">
              <w:rPr>
                <w:rFonts w:ascii="Titillium" w:eastAsia="Times New Roman" w:hAnsi="Titillium" w:cs="Times New Roman"/>
                <w:sz w:val="12"/>
                <w:szCs w:val="12"/>
              </w:rPr>
              <w:t>Dane identyfikacyjne (firma, forma prawna, numer Krajowego Rejestru Sądowego lub numer wpisu do Centralnej Ewidencji i Działalności Gospodarczej)</w:t>
            </w:r>
          </w:p>
        </w:tc>
      </w:tr>
      <w:tr w:rsidR="00095A92" w:rsidRPr="00580FE5" w14:paraId="7536F307" w14:textId="77777777" w:rsidTr="0094108E">
        <w:trPr>
          <w:trHeight w:val="548"/>
        </w:trPr>
        <w:tc>
          <w:tcPr>
            <w:tcW w:w="2987" w:type="dxa"/>
            <w:tcBorders>
              <w:top w:val="single" w:sz="4" w:space="0" w:color="000000"/>
              <w:left w:val="single" w:sz="4" w:space="0" w:color="000000"/>
              <w:bottom w:val="single" w:sz="4" w:space="0" w:color="000000"/>
              <w:right w:val="single" w:sz="4" w:space="0" w:color="000000"/>
            </w:tcBorders>
            <w:shd w:val="clear" w:color="auto" w:fill="F3F3F3"/>
          </w:tcPr>
          <w:p w14:paraId="0294EE04" w14:textId="77777777" w:rsidR="00095A92" w:rsidRPr="00580FE5" w:rsidRDefault="00095A92">
            <w:pPr>
              <w:rPr>
                <w:rFonts w:ascii="Titillium" w:hAnsi="Titillium"/>
                <w:sz w:val="16"/>
                <w:szCs w:val="16"/>
              </w:rPr>
            </w:pPr>
            <w:r w:rsidRPr="00580FE5">
              <w:rPr>
                <w:rFonts w:ascii="Titillium" w:eastAsia="Times New Roman" w:hAnsi="Titillium" w:cs="Times New Roman"/>
                <w:sz w:val="16"/>
                <w:szCs w:val="16"/>
              </w:rPr>
              <w:t xml:space="preserve">Adres </w:t>
            </w:r>
          </w:p>
        </w:tc>
        <w:tc>
          <w:tcPr>
            <w:tcW w:w="6661" w:type="dxa"/>
            <w:gridSpan w:val="2"/>
            <w:tcBorders>
              <w:top w:val="single" w:sz="4" w:space="0" w:color="000000"/>
              <w:left w:val="single" w:sz="4" w:space="0" w:color="000000"/>
              <w:bottom w:val="single" w:sz="4" w:space="0" w:color="000000"/>
              <w:right w:val="single" w:sz="4" w:space="0" w:color="000000"/>
            </w:tcBorders>
            <w:vAlign w:val="bottom"/>
          </w:tcPr>
          <w:p w14:paraId="5E703DBD" w14:textId="2A6E7E5C" w:rsidR="0094108E" w:rsidRPr="00580FE5" w:rsidRDefault="0094108E" w:rsidP="0094108E">
            <w:pPr>
              <w:jc w:val="center"/>
              <w:rPr>
                <w:rFonts w:ascii="Titillium" w:hAnsi="Titillium" w:cs="Arial"/>
                <w:sz w:val="16"/>
                <w:szCs w:val="16"/>
              </w:rPr>
            </w:pPr>
            <w:r w:rsidRPr="00580FE5">
              <w:rPr>
                <w:rFonts w:ascii="Titillium" w:hAnsi="Titillium" w:cs="Arial"/>
                <w:sz w:val="16"/>
                <w:szCs w:val="16"/>
              </w:rPr>
              <w:t>15-099 Białystok</w:t>
            </w:r>
            <w:r w:rsidR="001C4DFE">
              <w:rPr>
                <w:rFonts w:ascii="Titillium" w:hAnsi="Titillium" w:cs="Arial"/>
                <w:sz w:val="16"/>
                <w:szCs w:val="16"/>
              </w:rPr>
              <w:t>;</w:t>
            </w:r>
            <w:r w:rsidRPr="00580FE5">
              <w:rPr>
                <w:rFonts w:ascii="Titillium" w:hAnsi="Titillium" w:cs="Arial"/>
                <w:sz w:val="16"/>
                <w:szCs w:val="16"/>
              </w:rPr>
              <w:t xml:space="preserve"> ul. Legionowa 14/16</w:t>
            </w:r>
          </w:p>
          <w:p w14:paraId="267BC4BB" w14:textId="76AE2B46" w:rsidR="00095A92" w:rsidRPr="00580FE5" w:rsidRDefault="00095A92" w:rsidP="00102B07">
            <w:pPr>
              <w:ind w:left="2" w:right="49"/>
              <w:jc w:val="center"/>
              <w:rPr>
                <w:rFonts w:ascii="Titillium" w:hAnsi="Titillium"/>
                <w:sz w:val="12"/>
                <w:szCs w:val="12"/>
              </w:rPr>
            </w:pPr>
            <w:r w:rsidRPr="00580FE5">
              <w:rPr>
                <w:rFonts w:ascii="Titillium" w:eastAsia="Times New Roman" w:hAnsi="Titillium" w:cs="Times New Roman"/>
                <w:sz w:val="12"/>
                <w:szCs w:val="12"/>
              </w:rPr>
              <w:t>Adres miejsca wykonywania działalności gospodarczej, adres siedziby i adres punktów, w których jest przedstawiana oferta lokali mieszkalnych albo domów jednorodzinnych</w:t>
            </w:r>
          </w:p>
        </w:tc>
      </w:tr>
      <w:tr w:rsidR="00095A92" w:rsidRPr="00580FE5" w14:paraId="0AF4A77F" w14:textId="77777777" w:rsidTr="0094108E">
        <w:trPr>
          <w:trHeight w:val="107"/>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16541E" w14:textId="77777777" w:rsidR="00095A92" w:rsidRPr="00580FE5" w:rsidRDefault="00095A92">
            <w:pPr>
              <w:rPr>
                <w:rFonts w:ascii="Titillium" w:hAnsi="Titillium"/>
                <w:sz w:val="16"/>
                <w:szCs w:val="16"/>
              </w:rPr>
            </w:pPr>
            <w:r w:rsidRPr="00580FE5">
              <w:rPr>
                <w:rFonts w:ascii="Titillium" w:eastAsia="Times New Roman" w:hAnsi="Titillium" w:cs="Times New Roman"/>
                <w:sz w:val="16"/>
                <w:szCs w:val="16"/>
              </w:rPr>
              <w:t xml:space="preserve">Numer NIP i REGON </w:t>
            </w:r>
          </w:p>
        </w:tc>
        <w:tc>
          <w:tcPr>
            <w:tcW w:w="3242" w:type="dxa"/>
            <w:tcBorders>
              <w:top w:val="single" w:sz="4" w:space="0" w:color="000000"/>
              <w:left w:val="single" w:sz="4" w:space="0" w:color="000000"/>
              <w:bottom w:val="single" w:sz="4" w:space="0" w:color="000000"/>
              <w:right w:val="single" w:sz="4" w:space="0" w:color="000000"/>
            </w:tcBorders>
            <w:vAlign w:val="center"/>
          </w:tcPr>
          <w:p w14:paraId="6BA5F769" w14:textId="56E7E7BC" w:rsidR="00095A92" w:rsidRPr="00580FE5" w:rsidRDefault="00095A92">
            <w:pPr>
              <w:ind w:left="2"/>
              <w:rPr>
                <w:rFonts w:ascii="Titillium" w:hAnsi="Titillium"/>
                <w:sz w:val="16"/>
                <w:szCs w:val="16"/>
              </w:rPr>
            </w:pPr>
            <w:r w:rsidRPr="00580FE5">
              <w:rPr>
                <w:rFonts w:ascii="Titillium" w:eastAsia="Times New Roman" w:hAnsi="Titillium" w:cs="Times New Roman"/>
                <w:sz w:val="16"/>
                <w:szCs w:val="16"/>
              </w:rPr>
              <w:t>NIP</w:t>
            </w:r>
            <w:r w:rsidR="0094108E" w:rsidRPr="00580FE5">
              <w:rPr>
                <w:rFonts w:ascii="Titillium" w:eastAsia="Times New Roman" w:hAnsi="Titillium" w:cs="Times New Roman"/>
                <w:sz w:val="16"/>
                <w:szCs w:val="16"/>
              </w:rPr>
              <w:t>: 542-030-35-89</w:t>
            </w:r>
          </w:p>
        </w:tc>
        <w:tc>
          <w:tcPr>
            <w:tcW w:w="3419" w:type="dxa"/>
            <w:tcBorders>
              <w:top w:val="single" w:sz="4" w:space="0" w:color="000000"/>
              <w:left w:val="single" w:sz="4" w:space="0" w:color="000000"/>
              <w:bottom w:val="single" w:sz="4" w:space="0" w:color="000000"/>
              <w:right w:val="single" w:sz="4" w:space="0" w:color="000000"/>
            </w:tcBorders>
            <w:vAlign w:val="center"/>
          </w:tcPr>
          <w:p w14:paraId="5911624A" w14:textId="599B6C63" w:rsidR="00095A92" w:rsidRPr="00580FE5" w:rsidRDefault="00095A92">
            <w:pPr>
              <w:ind w:left="1"/>
              <w:rPr>
                <w:rFonts w:ascii="Titillium" w:hAnsi="Titillium"/>
                <w:sz w:val="16"/>
                <w:szCs w:val="16"/>
              </w:rPr>
            </w:pPr>
            <w:r w:rsidRPr="00580FE5">
              <w:rPr>
                <w:rFonts w:ascii="Titillium" w:eastAsia="Times New Roman" w:hAnsi="Titillium" w:cs="Times New Roman"/>
                <w:sz w:val="16"/>
                <w:szCs w:val="16"/>
              </w:rPr>
              <w:t>REGON</w:t>
            </w:r>
            <w:r w:rsidR="0094108E" w:rsidRPr="00580FE5">
              <w:rPr>
                <w:rFonts w:ascii="Titillium" w:eastAsia="Times New Roman" w:hAnsi="Titillium" w:cs="Times New Roman"/>
                <w:sz w:val="16"/>
                <w:szCs w:val="16"/>
              </w:rPr>
              <w:t>: 050232763</w:t>
            </w:r>
          </w:p>
        </w:tc>
      </w:tr>
      <w:tr w:rsidR="00095A92" w:rsidRPr="00580FE5" w14:paraId="0E47C714" w14:textId="77777777" w:rsidTr="0094108E">
        <w:trPr>
          <w:trHeight w:val="285"/>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CA7B37" w14:textId="77777777" w:rsidR="00095A92" w:rsidRPr="00580FE5" w:rsidRDefault="00095A92">
            <w:pPr>
              <w:rPr>
                <w:rFonts w:ascii="Titillium" w:hAnsi="Titillium"/>
                <w:sz w:val="16"/>
                <w:szCs w:val="16"/>
              </w:rPr>
            </w:pPr>
            <w:r w:rsidRPr="00580FE5">
              <w:rPr>
                <w:rFonts w:ascii="Titillium" w:eastAsia="Times New Roman" w:hAnsi="Titillium" w:cs="Times New Roman"/>
                <w:sz w:val="16"/>
                <w:szCs w:val="16"/>
              </w:rPr>
              <w:t xml:space="preserve">Numer telefonu </w:t>
            </w:r>
          </w:p>
        </w:tc>
        <w:tc>
          <w:tcPr>
            <w:tcW w:w="6661" w:type="dxa"/>
            <w:gridSpan w:val="2"/>
            <w:tcBorders>
              <w:top w:val="single" w:sz="4" w:space="0" w:color="000000"/>
              <w:left w:val="single" w:sz="4" w:space="0" w:color="000000"/>
              <w:bottom w:val="single" w:sz="4" w:space="0" w:color="000000"/>
              <w:right w:val="single" w:sz="4" w:space="0" w:color="000000"/>
            </w:tcBorders>
          </w:tcPr>
          <w:p w14:paraId="00E5E326" w14:textId="1E939858" w:rsidR="00095A92" w:rsidRPr="00580FE5" w:rsidRDefault="0094108E">
            <w:pPr>
              <w:rPr>
                <w:rFonts w:ascii="Titillium" w:hAnsi="Titillium"/>
                <w:sz w:val="16"/>
                <w:szCs w:val="16"/>
              </w:rPr>
            </w:pPr>
            <w:r w:rsidRPr="00580FE5">
              <w:rPr>
                <w:rFonts w:ascii="Titillium" w:hAnsi="Titillium" w:cs="Arial"/>
                <w:sz w:val="16"/>
                <w:szCs w:val="16"/>
              </w:rPr>
              <w:t>85 741-53-72, 85 741 64 02</w:t>
            </w:r>
          </w:p>
        </w:tc>
      </w:tr>
      <w:tr w:rsidR="00095A92" w:rsidRPr="00580FE5" w14:paraId="0D615BD0" w14:textId="77777777" w:rsidTr="00580FE5">
        <w:trPr>
          <w:trHeight w:val="159"/>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AD0C6D" w14:textId="77777777" w:rsidR="00095A92" w:rsidRPr="00580FE5" w:rsidRDefault="00095A92">
            <w:pPr>
              <w:rPr>
                <w:rFonts w:ascii="Titillium" w:hAnsi="Titillium"/>
                <w:sz w:val="16"/>
                <w:szCs w:val="16"/>
              </w:rPr>
            </w:pPr>
            <w:r w:rsidRPr="00580FE5">
              <w:rPr>
                <w:rFonts w:ascii="Titillium" w:eastAsia="Times New Roman" w:hAnsi="Titillium" w:cs="Times New Roman"/>
                <w:sz w:val="16"/>
                <w:szCs w:val="16"/>
              </w:rPr>
              <w:t xml:space="preserve">Adres poczty elektronicznej </w:t>
            </w:r>
          </w:p>
        </w:tc>
        <w:tc>
          <w:tcPr>
            <w:tcW w:w="6661" w:type="dxa"/>
            <w:gridSpan w:val="2"/>
            <w:tcBorders>
              <w:top w:val="single" w:sz="4" w:space="0" w:color="000000"/>
              <w:left w:val="single" w:sz="4" w:space="0" w:color="000000"/>
              <w:bottom w:val="single" w:sz="4" w:space="0" w:color="000000"/>
              <w:right w:val="single" w:sz="4" w:space="0" w:color="000000"/>
            </w:tcBorders>
          </w:tcPr>
          <w:p w14:paraId="73C2A5D9" w14:textId="703DD42E" w:rsidR="00095A92" w:rsidRPr="00580FE5" w:rsidRDefault="00580FE5">
            <w:pPr>
              <w:rPr>
                <w:rFonts w:ascii="Titillium" w:hAnsi="Titillium"/>
                <w:sz w:val="16"/>
                <w:szCs w:val="16"/>
              </w:rPr>
            </w:pPr>
            <w:r w:rsidRPr="00580FE5">
              <w:rPr>
                <w:rFonts w:ascii="Titillium" w:hAnsi="Titillium"/>
                <w:sz w:val="16"/>
                <w:szCs w:val="16"/>
              </w:rPr>
              <w:t>kombinat@kombinatbud.pl</w:t>
            </w:r>
          </w:p>
        </w:tc>
      </w:tr>
      <w:tr w:rsidR="00095A92" w:rsidRPr="00580FE5" w14:paraId="5EA754B2" w14:textId="77777777" w:rsidTr="00580FE5">
        <w:trPr>
          <w:trHeight w:val="153"/>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0BF647" w14:textId="77777777" w:rsidR="00095A92" w:rsidRPr="00580FE5" w:rsidRDefault="00095A92">
            <w:pPr>
              <w:rPr>
                <w:rFonts w:ascii="Titillium" w:hAnsi="Titillium"/>
                <w:sz w:val="16"/>
                <w:szCs w:val="16"/>
              </w:rPr>
            </w:pPr>
            <w:r w:rsidRPr="00580FE5">
              <w:rPr>
                <w:rFonts w:ascii="Titillium" w:eastAsia="Times New Roman" w:hAnsi="Titillium" w:cs="Times New Roman"/>
                <w:sz w:val="16"/>
                <w:szCs w:val="16"/>
              </w:rPr>
              <w:t xml:space="preserve">Numer faksu </w:t>
            </w:r>
          </w:p>
        </w:tc>
        <w:tc>
          <w:tcPr>
            <w:tcW w:w="6661" w:type="dxa"/>
            <w:gridSpan w:val="2"/>
            <w:tcBorders>
              <w:top w:val="single" w:sz="4" w:space="0" w:color="000000"/>
              <w:left w:val="single" w:sz="4" w:space="0" w:color="000000"/>
              <w:bottom w:val="single" w:sz="4" w:space="0" w:color="000000"/>
              <w:right w:val="single" w:sz="4" w:space="0" w:color="000000"/>
            </w:tcBorders>
          </w:tcPr>
          <w:p w14:paraId="44F3F914" w14:textId="116C4D53" w:rsidR="00095A92" w:rsidRPr="00580FE5" w:rsidRDefault="00580FE5">
            <w:pPr>
              <w:rPr>
                <w:rFonts w:ascii="Titillium" w:hAnsi="Titillium"/>
                <w:sz w:val="16"/>
                <w:szCs w:val="16"/>
              </w:rPr>
            </w:pPr>
            <w:r w:rsidRPr="00580FE5">
              <w:rPr>
                <w:rFonts w:ascii="Titillium" w:hAnsi="Titillium"/>
                <w:sz w:val="16"/>
                <w:szCs w:val="16"/>
              </w:rPr>
              <w:t>85</w:t>
            </w:r>
            <w:r w:rsidRPr="00580FE5">
              <w:rPr>
                <w:rFonts w:ascii="Cambria" w:hAnsi="Cambria" w:cs="Cambria"/>
                <w:sz w:val="16"/>
                <w:szCs w:val="16"/>
              </w:rPr>
              <w:t> </w:t>
            </w:r>
            <w:r w:rsidRPr="00580FE5">
              <w:rPr>
                <w:rFonts w:ascii="Titillium" w:hAnsi="Titillium"/>
                <w:sz w:val="16"/>
                <w:szCs w:val="16"/>
              </w:rPr>
              <w:t>741-53-72</w:t>
            </w:r>
          </w:p>
        </w:tc>
      </w:tr>
      <w:tr w:rsidR="00095A92" w:rsidRPr="00580FE5" w14:paraId="2AF36BF9" w14:textId="77777777" w:rsidTr="00580FE5">
        <w:trPr>
          <w:trHeight w:val="147"/>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692819" w14:textId="77777777" w:rsidR="00095A92" w:rsidRPr="00580FE5" w:rsidRDefault="00095A92">
            <w:pPr>
              <w:rPr>
                <w:rFonts w:ascii="Titillium" w:hAnsi="Titillium"/>
                <w:sz w:val="16"/>
                <w:szCs w:val="16"/>
              </w:rPr>
            </w:pPr>
            <w:r w:rsidRPr="00580FE5">
              <w:rPr>
                <w:rFonts w:ascii="Titillium" w:eastAsia="Times New Roman" w:hAnsi="Titillium" w:cs="Times New Roman"/>
                <w:sz w:val="16"/>
                <w:szCs w:val="16"/>
              </w:rPr>
              <w:t xml:space="preserve">Adres strony internetowej dewelopera </w:t>
            </w:r>
          </w:p>
        </w:tc>
        <w:tc>
          <w:tcPr>
            <w:tcW w:w="6661" w:type="dxa"/>
            <w:gridSpan w:val="2"/>
            <w:tcBorders>
              <w:top w:val="single" w:sz="4" w:space="0" w:color="000000"/>
              <w:left w:val="single" w:sz="4" w:space="0" w:color="000000"/>
              <w:bottom w:val="single" w:sz="4" w:space="0" w:color="000000"/>
              <w:right w:val="single" w:sz="4" w:space="0" w:color="000000"/>
            </w:tcBorders>
          </w:tcPr>
          <w:p w14:paraId="61343573" w14:textId="619FD8A6" w:rsidR="00095A92" w:rsidRPr="00580FE5" w:rsidRDefault="00580FE5">
            <w:pPr>
              <w:rPr>
                <w:rFonts w:ascii="Titillium" w:hAnsi="Titillium"/>
                <w:sz w:val="16"/>
                <w:szCs w:val="16"/>
              </w:rPr>
            </w:pPr>
            <w:r w:rsidRPr="00580FE5">
              <w:rPr>
                <w:rFonts w:ascii="Titillium" w:hAnsi="Titillium"/>
                <w:sz w:val="16"/>
                <w:szCs w:val="16"/>
              </w:rPr>
              <w:t>www.kombinatbud.pl</w:t>
            </w:r>
          </w:p>
        </w:tc>
      </w:tr>
    </w:tbl>
    <w:p w14:paraId="34E40BEA" w14:textId="77777777" w:rsidR="007F6D3F" w:rsidRDefault="007F6D3F" w:rsidP="00C844DB">
      <w:pPr>
        <w:spacing w:after="313" w:line="265" w:lineRule="auto"/>
        <w:rPr>
          <w:rFonts w:ascii="Titillium" w:hAnsi="Titillium"/>
        </w:rPr>
      </w:pPr>
    </w:p>
    <w:p w14:paraId="58A6615A" w14:textId="77777777" w:rsidR="00697EB4" w:rsidRDefault="00697EB4" w:rsidP="00C844DB">
      <w:pPr>
        <w:spacing w:after="313" w:line="265" w:lineRule="auto"/>
        <w:rPr>
          <w:rFonts w:ascii="Titillium" w:hAnsi="Titillium"/>
        </w:rPr>
      </w:pPr>
    </w:p>
    <w:p w14:paraId="302DCCF9" w14:textId="77777777" w:rsidR="00697EB4" w:rsidRDefault="00697EB4" w:rsidP="00C844DB">
      <w:pPr>
        <w:spacing w:after="313" w:line="265" w:lineRule="auto"/>
        <w:rPr>
          <w:rFonts w:ascii="Titillium" w:hAnsi="Titillium"/>
        </w:rPr>
      </w:pPr>
    </w:p>
    <w:p w14:paraId="41B7ECFB" w14:textId="77777777" w:rsidR="00697EB4" w:rsidRDefault="00697EB4" w:rsidP="00C844DB">
      <w:pPr>
        <w:spacing w:after="313" w:line="265" w:lineRule="auto"/>
        <w:rPr>
          <w:rFonts w:ascii="Titillium" w:hAnsi="Titillium"/>
        </w:rPr>
      </w:pPr>
    </w:p>
    <w:p w14:paraId="6FE52808" w14:textId="77777777" w:rsidR="00697EB4" w:rsidRPr="00C844DB" w:rsidRDefault="00697EB4" w:rsidP="00C844DB">
      <w:pPr>
        <w:spacing w:after="313" w:line="265" w:lineRule="auto"/>
        <w:rPr>
          <w:rFonts w:ascii="Titillium" w:hAnsi="Titillium"/>
        </w:rPr>
      </w:pPr>
    </w:p>
    <w:p w14:paraId="5781F836" w14:textId="567275E2" w:rsidR="00095A92" w:rsidRPr="00580FE5" w:rsidRDefault="00095A92" w:rsidP="00580FE5">
      <w:pPr>
        <w:pStyle w:val="Akapitzlist"/>
        <w:numPr>
          <w:ilvl w:val="0"/>
          <w:numId w:val="8"/>
        </w:numPr>
        <w:spacing w:after="313" w:line="265" w:lineRule="auto"/>
        <w:rPr>
          <w:rFonts w:ascii="Titillium" w:hAnsi="Titillium"/>
        </w:rPr>
      </w:pPr>
      <w:r w:rsidRPr="00580FE5">
        <w:rPr>
          <w:rFonts w:ascii="Titillium" w:eastAsia="Times New Roman" w:hAnsi="Titillium" w:cs="Times New Roman"/>
          <w:b/>
          <w:sz w:val="20"/>
        </w:rPr>
        <w:lastRenderedPageBreak/>
        <w:t>DOŚWIADCZENIE DEWELOPERA</w:t>
      </w:r>
    </w:p>
    <w:p w14:paraId="301C17C5" w14:textId="601EF3E1" w:rsidR="00095A92" w:rsidRPr="00580FE5" w:rsidRDefault="00095A92" w:rsidP="00A0199E">
      <w:pPr>
        <w:pBdr>
          <w:top w:val="single" w:sz="4" w:space="0" w:color="000000"/>
          <w:left w:val="single" w:sz="4" w:space="0" w:color="000000"/>
          <w:bottom w:val="single" w:sz="4" w:space="0" w:color="000000"/>
          <w:right w:val="single" w:sz="4" w:space="5" w:color="000000"/>
        </w:pBdr>
        <w:shd w:val="clear" w:color="auto" w:fill="E0E0E0"/>
        <w:spacing w:after="338"/>
        <w:ind w:left="216" w:right="131"/>
        <w:rPr>
          <w:rFonts w:ascii="Titillium" w:hAnsi="Titillium"/>
        </w:rPr>
      </w:pPr>
      <w:r w:rsidRPr="00580FE5">
        <w:rPr>
          <w:rFonts w:ascii="Titillium" w:eastAsia="Times New Roman" w:hAnsi="Titillium" w:cs="Times New Roman"/>
          <w:b/>
          <w:sz w:val="20"/>
        </w:rPr>
        <w:t>HISTORIA I UDOKUMENTOWANE DOŚWIADCZENIE DEWELOPERA</w:t>
      </w:r>
    </w:p>
    <w:tbl>
      <w:tblPr>
        <w:tblStyle w:val="TableGrid"/>
        <w:tblW w:w="9648" w:type="dxa"/>
        <w:tblInd w:w="109" w:type="dxa"/>
        <w:tblCellMar>
          <w:left w:w="107" w:type="dxa"/>
          <w:right w:w="57" w:type="dxa"/>
        </w:tblCellMar>
        <w:tblLook w:val="04A0" w:firstRow="1" w:lastRow="0" w:firstColumn="1" w:lastColumn="0" w:noHBand="0" w:noVBand="1"/>
      </w:tblPr>
      <w:tblGrid>
        <w:gridCol w:w="2811"/>
        <w:gridCol w:w="6837"/>
      </w:tblGrid>
      <w:tr w:rsidR="00095A92" w:rsidRPr="00580FE5" w14:paraId="6CA75BDA" w14:textId="77777777">
        <w:trPr>
          <w:trHeight w:val="757"/>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40C8A67A" w14:textId="77777777" w:rsidR="00095A92" w:rsidRPr="00580FE5" w:rsidRDefault="00095A92">
            <w:pPr>
              <w:jc w:val="both"/>
              <w:rPr>
                <w:rFonts w:ascii="Titillium" w:hAnsi="Titillium"/>
              </w:rPr>
            </w:pPr>
            <w:r w:rsidRPr="00580FE5">
              <w:rPr>
                <w:rFonts w:ascii="Titillium" w:eastAsia="Times New Roman" w:hAnsi="Titillium" w:cs="Times New Roman"/>
                <w:b/>
                <w:sz w:val="20"/>
              </w:rPr>
              <w:t xml:space="preserve">PRZYKŁAD UKOŃCZONEGO PRZEDSIĘWZIĘCIA DEWELOPERSKIEGO (należy wskazać, o ile istnieją, trzy ukończone przedsięwzięcia deweloperskie, w tym ostatnie) </w:t>
            </w:r>
          </w:p>
        </w:tc>
      </w:tr>
      <w:tr w:rsidR="00095A92" w:rsidRPr="00580FE5" w14:paraId="25176D66" w14:textId="77777777" w:rsidTr="00C64D58">
        <w:trPr>
          <w:trHeight w:val="39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7BA99D" w14:textId="77777777" w:rsidR="00095A92" w:rsidRPr="00580FE5" w:rsidRDefault="00095A92">
            <w:pPr>
              <w:rPr>
                <w:rFonts w:ascii="Titillium" w:hAnsi="Titillium"/>
                <w:sz w:val="16"/>
                <w:szCs w:val="16"/>
              </w:rPr>
            </w:pPr>
            <w:r w:rsidRPr="00580FE5">
              <w:rPr>
                <w:rFonts w:ascii="Titillium" w:eastAsia="Times New Roman" w:hAnsi="Titillium" w:cs="Times New Roman"/>
                <w:sz w:val="16"/>
                <w:szCs w:val="16"/>
              </w:rPr>
              <w:t xml:space="preserve">Adres </w:t>
            </w:r>
          </w:p>
        </w:tc>
        <w:tc>
          <w:tcPr>
            <w:tcW w:w="6837" w:type="dxa"/>
            <w:tcBorders>
              <w:top w:val="single" w:sz="4" w:space="0" w:color="000000"/>
              <w:left w:val="single" w:sz="4" w:space="0" w:color="000000"/>
              <w:bottom w:val="single" w:sz="4" w:space="0" w:color="000000"/>
              <w:right w:val="single" w:sz="4" w:space="0" w:color="000000"/>
            </w:tcBorders>
          </w:tcPr>
          <w:p w14:paraId="0226C9C6" w14:textId="7B141C62" w:rsidR="00095A92" w:rsidRPr="007C2E80" w:rsidRDefault="00580FE5">
            <w:pPr>
              <w:rPr>
                <w:rFonts w:ascii="Titillium" w:hAnsi="Titillium"/>
                <w:sz w:val="16"/>
                <w:szCs w:val="16"/>
              </w:rPr>
            </w:pPr>
            <w:r w:rsidRPr="007C2E80">
              <w:rPr>
                <w:rFonts w:ascii="Titillium" w:hAnsi="Titillium"/>
                <w:sz w:val="16"/>
                <w:szCs w:val="16"/>
              </w:rPr>
              <w:t>ul. Kawaleryjska 9, Białystok</w:t>
            </w:r>
          </w:p>
        </w:tc>
      </w:tr>
      <w:tr w:rsidR="00095A92" w:rsidRPr="00580FE5" w14:paraId="07038244" w14:textId="77777777" w:rsidTr="00C64D58">
        <w:trPr>
          <w:trHeight w:val="39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ECCABF1" w14:textId="77777777" w:rsidR="00095A92" w:rsidRPr="00580FE5" w:rsidRDefault="00095A92">
            <w:pPr>
              <w:rPr>
                <w:rFonts w:ascii="Titillium" w:hAnsi="Titillium"/>
                <w:sz w:val="16"/>
                <w:szCs w:val="16"/>
              </w:rPr>
            </w:pPr>
            <w:r w:rsidRPr="00580FE5">
              <w:rPr>
                <w:rFonts w:ascii="Titillium" w:eastAsia="Times New Roman" w:hAnsi="Titillium" w:cs="Times New Roman"/>
                <w:sz w:val="16"/>
                <w:szCs w:val="16"/>
              </w:rPr>
              <w:t xml:space="preserve">Data rozpoczęcia </w:t>
            </w:r>
          </w:p>
        </w:tc>
        <w:tc>
          <w:tcPr>
            <w:tcW w:w="6837" w:type="dxa"/>
            <w:tcBorders>
              <w:top w:val="single" w:sz="4" w:space="0" w:color="000000"/>
              <w:left w:val="single" w:sz="4" w:space="0" w:color="000000"/>
              <w:bottom w:val="single" w:sz="4" w:space="0" w:color="000000"/>
              <w:right w:val="single" w:sz="4" w:space="0" w:color="000000"/>
            </w:tcBorders>
          </w:tcPr>
          <w:p w14:paraId="5CECE469" w14:textId="7F458EFC" w:rsidR="00095A92" w:rsidRPr="007C2E80" w:rsidRDefault="00580FE5">
            <w:pPr>
              <w:rPr>
                <w:rFonts w:ascii="Titillium" w:hAnsi="Titillium"/>
                <w:sz w:val="16"/>
                <w:szCs w:val="16"/>
              </w:rPr>
            </w:pPr>
            <w:r w:rsidRPr="007C2E80">
              <w:rPr>
                <w:rFonts w:ascii="Titillium" w:hAnsi="Titillium"/>
                <w:sz w:val="16"/>
                <w:szCs w:val="16"/>
              </w:rPr>
              <w:t>22.03.2017r.</w:t>
            </w:r>
          </w:p>
        </w:tc>
      </w:tr>
      <w:tr w:rsidR="00095A92" w:rsidRPr="00580FE5" w14:paraId="7B54AF37" w14:textId="77777777" w:rsidTr="00C64D58">
        <w:trPr>
          <w:trHeight w:val="75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A91052" w14:textId="77777777" w:rsidR="00095A92" w:rsidRPr="00580FE5" w:rsidRDefault="00095A92">
            <w:pPr>
              <w:ind w:right="259"/>
              <w:jc w:val="both"/>
              <w:rPr>
                <w:rFonts w:ascii="Titillium" w:hAnsi="Titillium"/>
                <w:sz w:val="16"/>
                <w:szCs w:val="16"/>
              </w:rPr>
            </w:pPr>
            <w:r w:rsidRPr="00580FE5">
              <w:rPr>
                <w:rFonts w:ascii="Titillium" w:eastAsia="Times New Roman" w:hAnsi="Titillium" w:cs="Times New Roman"/>
                <w:sz w:val="16"/>
                <w:szCs w:val="16"/>
              </w:rPr>
              <w:t>Data wydania decyzji o pozwoleniu na użytkowanie</w:t>
            </w:r>
          </w:p>
        </w:tc>
        <w:tc>
          <w:tcPr>
            <w:tcW w:w="6837" w:type="dxa"/>
            <w:tcBorders>
              <w:top w:val="single" w:sz="4" w:space="0" w:color="000000"/>
              <w:left w:val="single" w:sz="4" w:space="0" w:color="000000"/>
              <w:bottom w:val="single" w:sz="4" w:space="0" w:color="000000"/>
              <w:right w:val="single" w:sz="4" w:space="0" w:color="000000"/>
            </w:tcBorders>
          </w:tcPr>
          <w:p w14:paraId="6CE3D44E" w14:textId="5B3C301E" w:rsidR="00095A92" w:rsidRPr="007C2E80" w:rsidRDefault="00580FE5">
            <w:pPr>
              <w:rPr>
                <w:rFonts w:ascii="Titillium" w:hAnsi="Titillium"/>
                <w:sz w:val="16"/>
                <w:szCs w:val="16"/>
              </w:rPr>
            </w:pPr>
            <w:r w:rsidRPr="007C2E80">
              <w:rPr>
                <w:rFonts w:ascii="Titillium" w:hAnsi="Titillium"/>
                <w:sz w:val="16"/>
                <w:szCs w:val="16"/>
              </w:rPr>
              <w:t>31.07.2018r.</w:t>
            </w:r>
          </w:p>
        </w:tc>
      </w:tr>
      <w:tr w:rsidR="00095A92" w:rsidRPr="00580FE5" w14:paraId="477733D8" w14:textId="77777777" w:rsidTr="002077B6">
        <w:trPr>
          <w:trHeight w:val="497"/>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040ED111" w14:textId="651D31C2" w:rsidR="00095A92" w:rsidRPr="00580FE5" w:rsidRDefault="00095A92" w:rsidP="002077B6">
            <w:pPr>
              <w:spacing w:after="125"/>
              <w:rPr>
                <w:rFonts w:ascii="Titillium" w:hAnsi="Titillium"/>
              </w:rPr>
            </w:pPr>
            <w:r w:rsidRPr="00580FE5">
              <w:rPr>
                <w:rFonts w:ascii="Titillium" w:eastAsia="Times New Roman" w:hAnsi="Titillium" w:cs="Times New Roman"/>
                <w:b/>
                <w:sz w:val="20"/>
              </w:rPr>
              <w:t xml:space="preserve">PRZYKŁAD INNEGO UKOŃCZONEGO PRZEDSIĘWZIĘCIA DEWELOPERSKIEGO </w:t>
            </w:r>
          </w:p>
        </w:tc>
      </w:tr>
      <w:tr w:rsidR="00095A92" w:rsidRPr="00580FE5" w14:paraId="34A6A654" w14:textId="77777777" w:rsidTr="00C64D58">
        <w:trPr>
          <w:trHeight w:val="39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0CC7ED" w14:textId="77777777" w:rsidR="00095A92" w:rsidRPr="007C2E80" w:rsidRDefault="00095A92">
            <w:pPr>
              <w:rPr>
                <w:rFonts w:ascii="Titillium" w:hAnsi="Titillium"/>
                <w:sz w:val="16"/>
                <w:szCs w:val="16"/>
              </w:rPr>
            </w:pPr>
            <w:r w:rsidRPr="007C2E80">
              <w:rPr>
                <w:rFonts w:ascii="Titillium" w:eastAsia="Times New Roman" w:hAnsi="Titillium" w:cs="Times New Roman"/>
                <w:sz w:val="16"/>
                <w:szCs w:val="16"/>
              </w:rPr>
              <w:t xml:space="preserve">Adres  </w:t>
            </w:r>
          </w:p>
        </w:tc>
        <w:tc>
          <w:tcPr>
            <w:tcW w:w="6837" w:type="dxa"/>
            <w:tcBorders>
              <w:top w:val="single" w:sz="4" w:space="0" w:color="000000"/>
              <w:left w:val="single" w:sz="4" w:space="0" w:color="000000"/>
              <w:bottom w:val="single" w:sz="4" w:space="0" w:color="000000"/>
              <w:right w:val="single" w:sz="4" w:space="0" w:color="000000"/>
            </w:tcBorders>
            <w:vAlign w:val="center"/>
          </w:tcPr>
          <w:p w14:paraId="5C5E9C7F" w14:textId="22A958F7" w:rsidR="00095A92" w:rsidRPr="002077B6" w:rsidRDefault="00095A92">
            <w:pPr>
              <w:ind w:left="5"/>
              <w:rPr>
                <w:rFonts w:ascii="Titillium" w:hAnsi="Titillium"/>
                <w:sz w:val="16"/>
                <w:szCs w:val="16"/>
              </w:rPr>
            </w:pPr>
            <w:r w:rsidRPr="002077B6">
              <w:rPr>
                <w:rFonts w:ascii="Titillium" w:eastAsia="Times New Roman" w:hAnsi="Titillium" w:cs="Times New Roman"/>
                <w:sz w:val="16"/>
                <w:szCs w:val="16"/>
              </w:rPr>
              <w:t xml:space="preserve"> </w:t>
            </w:r>
            <w:r w:rsidR="00660174" w:rsidRPr="00660174">
              <w:rPr>
                <w:rFonts w:ascii="Titillium" w:eastAsia="Times New Roman" w:hAnsi="Titillium" w:cs="Times New Roman"/>
                <w:sz w:val="16"/>
                <w:szCs w:val="16"/>
              </w:rPr>
              <w:t>ul. Przemysłowa 27, Białystok</w:t>
            </w:r>
          </w:p>
        </w:tc>
      </w:tr>
      <w:tr w:rsidR="00095A92" w:rsidRPr="00580FE5" w14:paraId="69492388" w14:textId="77777777" w:rsidTr="00C64D58">
        <w:trPr>
          <w:trHeight w:val="39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47B775" w14:textId="77777777" w:rsidR="00095A92" w:rsidRPr="007C2E80" w:rsidRDefault="00095A92">
            <w:pPr>
              <w:rPr>
                <w:rFonts w:ascii="Titillium" w:hAnsi="Titillium"/>
                <w:sz w:val="16"/>
                <w:szCs w:val="16"/>
              </w:rPr>
            </w:pPr>
            <w:r w:rsidRPr="007C2E80">
              <w:rPr>
                <w:rFonts w:ascii="Titillium" w:eastAsia="Times New Roman" w:hAnsi="Titillium" w:cs="Times New Roman"/>
                <w:sz w:val="16"/>
                <w:szCs w:val="16"/>
              </w:rPr>
              <w:t xml:space="preserve">Data rozpoczęcia  </w:t>
            </w:r>
          </w:p>
        </w:tc>
        <w:tc>
          <w:tcPr>
            <w:tcW w:w="6837" w:type="dxa"/>
            <w:tcBorders>
              <w:top w:val="single" w:sz="4" w:space="0" w:color="000000"/>
              <w:left w:val="single" w:sz="4" w:space="0" w:color="000000"/>
              <w:bottom w:val="single" w:sz="4" w:space="0" w:color="000000"/>
              <w:right w:val="single" w:sz="4" w:space="0" w:color="000000"/>
            </w:tcBorders>
            <w:vAlign w:val="center"/>
          </w:tcPr>
          <w:p w14:paraId="725606A0" w14:textId="5C1666B7" w:rsidR="00095A92" w:rsidRPr="007C2E80" w:rsidRDefault="00660174">
            <w:pPr>
              <w:ind w:left="5"/>
              <w:rPr>
                <w:rFonts w:ascii="Titillium" w:hAnsi="Titillium"/>
                <w:sz w:val="16"/>
                <w:szCs w:val="16"/>
              </w:rPr>
            </w:pPr>
            <w:r w:rsidRPr="00660174">
              <w:rPr>
                <w:rFonts w:ascii="Titillium" w:eastAsia="Times New Roman" w:hAnsi="Titillium" w:cs="Times New Roman"/>
                <w:sz w:val="16"/>
                <w:szCs w:val="16"/>
              </w:rPr>
              <w:t>02.08.2021r.</w:t>
            </w:r>
          </w:p>
        </w:tc>
      </w:tr>
      <w:tr w:rsidR="00095A92" w:rsidRPr="00580FE5" w14:paraId="548B0227" w14:textId="77777777" w:rsidTr="00C64D58">
        <w:trPr>
          <w:trHeight w:val="75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E4F88A" w14:textId="77777777" w:rsidR="00095A92" w:rsidRPr="007C2E80" w:rsidRDefault="00095A92">
            <w:pPr>
              <w:ind w:right="55"/>
              <w:jc w:val="both"/>
              <w:rPr>
                <w:rFonts w:ascii="Titillium" w:hAnsi="Titillium"/>
                <w:sz w:val="16"/>
                <w:szCs w:val="16"/>
              </w:rPr>
            </w:pPr>
            <w:r w:rsidRPr="007C2E80">
              <w:rPr>
                <w:rFonts w:ascii="Titillium" w:eastAsia="Times New Roman" w:hAnsi="Titillium" w:cs="Times New Roman"/>
                <w:sz w:val="16"/>
                <w:szCs w:val="16"/>
              </w:rPr>
              <w:t xml:space="preserve">Data wydania decyzji  o pozwoleniu na użytkowanie </w:t>
            </w:r>
          </w:p>
        </w:tc>
        <w:tc>
          <w:tcPr>
            <w:tcW w:w="6837" w:type="dxa"/>
            <w:tcBorders>
              <w:top w:val="single" w:sz="4" w:space="0" w:color="000000"/>
              <w:left w:val="single" w:sz="4" w:space="0" w:color="000000"/>
              <w:bottom w:val="single" w:sz="4" w:space="0" w:color="000000"/>
              <w:right w:val="single" w:sz="4" w:space="0" w:color="000000"/>
            </w:tcBorders>
          </w:tcPr>
          <w:p w14:paraId="2C1FA1B2" w14:textId="342F5329" w:rsidR="00095A92" w:rsidRPr="007C2E80" w:rsidRDefault="00660174">
            <w:pPr>
              <w:ind w:left="5"/>
              <w:rPr>
                <w:rFonts w:ascii="Titillium" w:hAnsi="Titillium"/>
                <w:sz w:val="16"/>
                <w:szCs w:val="16"/>
              </w:rPr>
            </w:pPr>
            <w:r w:rsidRPr="00660174">
              <w:rPr>
                <w:rFonts w:ascii="Titillium" w:eastAsia="Times New Roman" w:hAnsi="Titillium" w:cs="Times New Roman"/>
                <w:sz w:val="16"/>
                <w:szCs w:val="16"/>
              </w:rPr>
              <w:t>21.02.2023r.</w:t>
            </w:r>
          </w:p>
        </w:tc>
      </w:tr>
      <w:tr w:rsidR="00095A92" w:rsidRPr="00580FE5" w14:paraId="4B96718B" w14:textId="77777777" w:rsidTr="001C4DFE">
        <w:trPr>
          <w:trHeight w:val="518"/>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vAlign w:val="bottom"/>
          </w:tcPr>
          <w:p w14:paraId="39DC1821" w14:textId="30B6EA6E" w:rsidR="00095A92" w:rsidRPr="00580FE5" w:rsidRDefault="00095A92" w:rsidP="001C4DFE">
            <w:pPr>
              <w:spacing w:after="262"/>
              <w:rPr>
                <w:rFonts w:ascii="Titillium" w:hAnsi="Titillium"/>
              </w:rPr>
            </w:pPr>
            <w:r w:rsidRPr="00580FE5">
              <w:rPr>
                <w:rFonts w:ascii="Titillium" w:eastAsia="Times New Roman" w:hAnsi="Titillium" w:cs="Times New Roman"/>
                <w:b/>
                <w:sz w:val="20"/>
              </w:rPr>
              <w:t xml:space="preserve">PRZYKŁAD OSTATNIEGO UKOŃCZONEGO PRZEDSIĘWZIĘCIA DEWELOPERSKIEGO </w:t>
            </w:r>
          </w:p>
        </w:tc>
      </w:tr>
      <w:tr w:rsidR="00C64D58" w:rsidRPr="00580FE5" w14:paraId="5A1AFD44" w14:textId="77777777" w:rsidTr="00C64D58">
        <w:trPr>
          <w:trHeight w:val="39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8ECD3E" w14:textId="77777777" w:rsidR="00C64D58" w:rsidRPr="003030F1" w:rsidRDefault="00C64D58" w:rsidP="00C64D58">
            <w:pPr>
              <w:rPr>
                <w:rFonts w:ascii="Titillium" w:hAnsi="Titillium"/>
                <w:sz w:val="16"/>
                <w:szCs w:val="16"/>
              </w:rPr>
            </w:pPr>
            <w:r w:rsidRPr="003030F1">
              <w:rPr>
                <w:rFonts w:ascii="Titillium" w:eastAsia="Times New Roman" w:hAnsi="Titillium" w:cs="Times New Roman"/>
                <w:sz w:val="16"/>
                <w:szCs w:val="16"/>
              </w:rPr>
              <w:t xml:space="preserve">Adres  </w:t>
            </w:r>
          </w:p>
        </w:tc>
        <w:tc>
          <w:tcPr>
            <w:tcW w:w="6837" w:type="dxa"/>
            <w:tcBorders>
              <w:top w:val="single" w:sz="4" w:space="0" w:color="000000"/>
              <w:left w:val="single" w:sz="4" w:space="0" w:color="000000"/>
              <w:bottom w:val="single" w:sz="4" w:space="0" w:color="000000"/>
              <w:right w:val="single" w:sz="4" w:space="0" w:color="000000"/>
            </w:tcBorders>
          </w:tcPr>
          <w:p w14:paraId="3264A502" w14:textId="3C113659" w:rsidR="00C64D58" w:rsidRPr="00C64D58" w:rsidRDefault="00C64D58" w:rsidP="00C64D58">
            <w:pPr>
              <w:ind w:left="5"/>
              <w:rPr>
                <w:rFonts w:ascii="Titillium" w:hAnsi="Titillium"/>
                <w:sz w:val="16"/>
                <w:szCs w:val="16"/>
              </w:rPr>
            </w:pPr>
            <w:r w:rsidRPr="00C64D58">
              <w:rPr>
                <w:rFonts w:ascii="Titillium" w:hAnsi="Titillium"/>
                <w:sz w:val="16"/>
                <w:szCs w:val="16"/>
              </w:rPr>
              <w:t xml:space="preserve"> ul. Zaścianki 3,  Grabówka</w:t>
            </w:r>
          </w:p>
        </w:tc>
      </w:tr>
      <w:tr w:rsidR="00C64D58" w:rsidRPr="00580FE5" w14:paraId="75FF0242" w14:textId="77777777" w:rsidTr="00C64D58">
        <w:trPr>
          <w:trHeight w:val="39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72F4BD" w14:textId="77777777" w:rsidR="00C64D58" w:rsidRPr="003030F1" w:rsidRDefault="00C64D58" w:rsidP="00C64D58">
            <w:pPr>
              <w:rPr>
                <w:rFonts w:ascii="Titillium" w:hAnsi="Titillium"/>
                <w:sz w:val="16"/>
                <w:szCs w:val="16"/>
              </w:rPr>
            </w:pPr>
            <w:r w:rsidRPr="003030F1">
              <w:rPr>
                <w:rFonts w:ascii="Titillium" w:eastAsia="Times New Roman" w:hAnsi="Titillium" w:cs="Times New Roman"/>
                <w:sz w:val="16"/>
                <w:szCs w:val="16"/>
              </w:rPr>
              <w:t xml:space="preserve">Data rozpoczęcia  </w:t>
            </w:r>
          </w:p>
        </w:tc>
        <w:tc>
          <w:tcPr>
            <w:tcW w:w="6837" w:type="dxa"/>
            <w:tcBorders>
              <w:top w:val="single" w:sz="4" w:space="0" w:color="000000"/>
              <w:left w:val="single" w:sz="4" w:space="0" w:color="000000"/>
              <w:bottom w:val="single" w:sz="4" w:space="0" w:color="000000"/>
              <w:right w:val="single" w:sz="4" w:space="0" w:color="000000"/>
            </w:tcBorders>
          </w:tcPr>
          <w:p w14:paraId="4D23EB19" w14:textId="7F297EE0" w:rsidR="00C64D58" w:rsidRPr="00C64D58" w:rsidRDefault="00C64D58" w:rsidP="00C64D58">
            <w:pPr>
              <w:ind w:left="5"/>
              <w:rPr>
                <w:rFonts w:ascii="Titillium" w:hAnsi="Titillium"/>
                <w:sz w:val="16"/>
                <w:szCs w:val="16"/>
              </w:rPr>
            </w:pPr>
            <w:r w:rsidRPr="00C64D58">
              <w:rPr>
                <w:rFonts w:ascii="Titillium" w:hAnsi="Titillium"/>
                <w:sz w:val="16"/>
                <w:szCs w:val="16"/>
              </w:rPr>
              <w:t xml:space="preserve"> 15.06.2023r.</w:t>
            </w:r>
          </w:p>
        </w:tc>
      </w:tr>
      <w:tr w:rsidR="00C64D58" w:rsidRPr="00580FE5" w14:paraId="047FAF32" w14:textId="77777777" w:rsidTr="00C64D58">
        <w:trPr>
          <w:trHeight w:val="756"/>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06988F" w14:textId="77777777" w:rsidR="00C64D58" w:rsidRPr="002077B6" w:rsidRDefault="00C64D58" w:rsidP="00C64D58">
            <w:pPr>
              <w:ind w:right="55"/>
              <w:jc w:val="both"/>
              <w:rPr>
                <w:rFonts w:ascii="Titillium" w:hAnsi="Titillium"/>
                <w:sz w:val="16"/>
                <w:szCs w:val="16"/>
              </w:rPr>
            </w:pPr>
            <w:r w:rsidRPr="002077B6">
              <w:rPr>
                <w:rFonts w:ascii="Titillium" w:eastAsia="Times New Roman" w:hAnsi="Titillium" w:cs="Times New Roman"/>
                <w:sz w:val="16"/>
                <w:szCs w:val="16"/>
              </w:rPr>
              <w:t xml:space="preserve">Data wydania decyzji o pozwoleniu na użytkowanie </w:t>
            </w:r>
          </w:p>
        </w:tc>
        <w:tc>
          <w:tcPr>
            <w:tcW w:w="6837" w:type="dxa"/>
            <w:tcBorders>
              <w:top w:val="single" w:sz="4" w:space="0" w:color="000000"/>
              <w:left w:val="single" w:sz="4" w:space="0" w:color="000000"/>
              <w:bottom w:val="single" w:sz="4" w:space="0" w:color="000000"/>
              <w:right w:val="single" w:sz="4" w:space="0" w:color="000000"/>
            </w:tcBorders>
          </w:tcPr>
          <w:p w14:paraId="3F178615" w14:textId="622783C0" w:rsidR="00C64D58" w:rsidRPr="00C64D58" w:rsidRDefault="00C64D58" w:rsidP="00C64D58">
            <w:pPr>
              <w:ind w:left="5"/>
              <w:rPr>
                <w:rFonts w:ascii="Titillium" w:hAnsi="Titillium"/>
                <w:color w:val="FF0000"/>
                <w:sz w:val="16"/>
                <w:szCs w:val="16"/>
              </w:rPr>
            </w:pPr>
            <w:r w:rsidRPr="00C64D58">
              <w:rPr>
                <w:rFonts w:ascii="Titillium" w:hAnsi="Titillium"/>
                <w:sz w:val="16"/>
                <w:szCs w:val="16"/>
              </w:rPr>
              <w:t xml:space="preserve"> 02.07.2025r.</w:t>
            </w:r>
          </w:p>
        </w:tc>
      </w:tr>
    </w:tbl>
    <w:p w14:paraId="3170C34B" w14:textId="77777777" w:rsidR="00095A92" w:rsidRPr="00580FE5" w:rsidRDefault="00095A92">
      <w:pPr>
        <w:spacing w:after="0"/>
        <w:rPr>
          <w:rFonts w:ascii="Titillium" w:hAnsi="Titillium"/>
        </w:rPr>
      </w:pPr>
      <w:r w:rsidRPr="00580FE5">
        <w:rPr>
          <w:rFonts w:ascii="Titillium" w:eastAsia="Times New Roman" w:hAnsi="Titillium" w:cs="Times New Roman"/>
          <w:b/>
          <w:sz w:val="16"/>
        </w:rPr>
        <w:t xml:space="preserve"> </w:t>
      </w:r>
    </w:p>
    <w:tbl>
      <w:tblPr>
        <w:tblStyle w:val="TableGrid"/>
        <w:tblW w:w="9649" w:type="dxa"/>
        <w:tblInd w:w="109" w:type="dxa"/>
        <w:tblCellMar>
          <w:top w:w="189" w:type="dxa"/>
          <w:left w:w="107" w:type="dxa"/>
          <w:right w:w="115" w:type="dxa"/>
        </w:tblCellMar>
        <w:tblLook w:val="04A0" w:firstRow="1" w:lastRow="0" w:firstColumn="1" w:lastColumn="0" w:noHBand="0" w:noVBand="1"/>
      </w:tblPr>
      <w:tblGrid>
        <w:gridCol w:w="2807"/>
        <w:gridCol w:w="6842"/>
      </w:tblGrid>
      <w:tr w:rsidR="00095A92" w:rsidRPr="00580FE5" w14:paraId="6ECF8F27" w14:textId="77777777" w:rsidTr="002077B6">
        <w:trPr>
          <w:trHeight w:val="684"/>
        </w:trPr>
        <w:tc>
          <w:tcPr>
            <w:tcW w:w="28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00DB94" w14:textId="5073A31E" w:rsidR="00095A92" w:rsidRPr="001379D7" w:rsidRDefault="00095A92">
            <w:pPr>
              <w:ind w:right="200"/>
              <w:rPr>
                <w:rFonts w:ascii="Titillium" w:hAnsi="Titillium"/>
                <w:sz w:val="16"/>
                <w:szCs w:val="16"/>
              </w:rPr>
            </w:pPr>
            <w:r w:rsidRPr="001379D7">
              <w:rPr>
                <w:rFonts w:ascii="Titillium" w:eastAsia="Times New Roman" w:hAnsi="Titillium" w:cs="Times New Roman"/>
                <w:sz w:val="16"/>
                <w:szCs w:val="16"/>
              </w:rPr>
              <w:t>Czy przeciwko deweloperowi prowadzono lub prowadzi się postępowania egzekucyjne na kwotę powyżej 100 000 zł</w:t>
            </w:r>
            <w:r w:rsidR="002077B6" w:rsidRPr="001379D7">
              <w:rPr>
                <w:rFonts w:ascii="Titillium" w:eastAsia="Times New Roman" w:hAnsi="Titillium" w:cs="Times New Roman"/>
                <w:sz w:val="16"/>
                <w:szCs w:val="16"/>
              </w:rPr>
              <w:t>?</w:t>
            </w:r>
            <w:r w:rsidRPr="001379D7">
              <w:rPr>
                <w:rFonts w:ascii="Titillium" w:eastAsia="Times New Roman" w:hAnsi="Titillium" w:cs="Times New Roman"/>
                <w:b/>
                <w:sz w:val="16"/>
                <w:szCs w:val="16"/>
              </w:rPr>
              <w:t xml:space="preserve"> </w:t>
            </w:r>
          </w:p>
        </w:tc>
        <w:tc>
          <w:tcPr>
            <w:tcW w:w="6842" w:type="dxa"/>
            <w:tcBorders>
              <w:top w:val="single" w:sz="4" w:space="0" w:color="000000"/>
              <w:left w:val="single" w:sz="4" w:space="0" w:color="000000"/>
              <w:bottom w:val="single" w:sz="4" w:space="0" w:color="000000"/>
              <w:right w:val="single" w:sz="4" w:space="0" w:color="000000"/>
            </w:tcBorders>
          </w:tcPr>
          <w:p w14:paraId="11F4939C" w14:textId="61112B96" w:rsidR="00095A92" w:rsidRPr="001379D7" w:rsidRDefault="00095A92">
            <w:pPr>
              <w:ind w:left="2"/>
              <w:rPr>
                <w:rFonts w:ascii="Titillium" w:hAnsi="Titillium"/>
                <w:bCs/>
                <w:sz w:val="16"/>
                <w:szCs w:val="16"/>
              </w:rPr>
            </w:pPr>
            <w:r w:rsidRPr="001379D7">
              <w:rPr>
                <w:rFonts w:ascii="Titillium" w:eastAsia="Times New Roman" w:hAnsi="Titillium" w:cs="Times New Roman"/>
                <w:bCs/>
                <w:sz w:val="16"/>
                <w:szCs w:val="16"/>
              </w:rPr>
              <w:t xml:space="preserve"> </w:t>
            </w:r>
            <w:r w:rsidR="002077B6" w:rsidRPr="001379D7">
              <w:rPr>
                <w:rFonts w:ascii="Titillium" w:eastAsia="Times New Roman" w:hAnsi="Titillium" w:cs="Times New Roman"/>
                <w:bCs/>
                <w:sz w:val="16"/>
                <w:szCs w:val="16"/>
              </w:rPr>
              <w:t>nie dotyczy</w:t>
            </w:r>
          </w:p>
        </w:tc>
      </w:tr>
    </w:tbl>
    <w:p w14:paraId="04646BA7" w14:textId="77777777" w:rsidR="00A22B94" w:rsidRPr="00BF7EED" w:rsidRDefault="00A22B94" w:rsidP="00BF7EED">
      <w:pPr>
        <w:spacing w:after="126"/>
        <w:rPr>
          <w:rFonts w:ascii="Titillium" w:hAnsi="Titillium"/>
        </w:rPr>
      </w:pPr>
    </w:p>
    <w:p w14:paraId="515CD95A" w14:textId="30CF419F" w:rsidR="00095A92" w:rsidRPr="002077B6" w:rsidRDefault="00095A92" w:rsidP="002077B6">
      <w:pPr>
        <w:pStyle w:val="Akapitzlist"/>
        <w:numPr>
          <w:ilvl w:val="0"/>
          <w:numId w:val="8"/>
        </w:numPr>
        <w:spacing w:after="126"/>
        <w:rPr>
          <w:rFonts w:ascii="Titillium" w:hAnsi="Titillium"/>
        </w:rPr>
      </w:pPr>
      <w:r w:rsidRPr="002077B6">
        <w:rPr>
          <w:rFonts w:ascii="Titillium" w:eastAsia="Times New Roman" w:hAnsi="Titillium" w:cs="Times New Roman"/>
          <w:b/>
          <w:sz w:val="20"/>
        </w:rPr>
        <w:t xml:space="preserve">INFORMACJE DOTYCZĄCE NIERUCHOMOŚCI I PRZEDSIĘWZIĘCIA </w:t>
      </w:r>
      <w:r w:rsidRPr="00DB5E12">
        <w:rPr>
          <w:rFonts w:ascii="Titillium" w:eastAsia="Times New Roman" w:hAnsi="Titillium" w:cs="Times New Roman"/>
          <w:b/>
          <w:sz w:val="20"/>
        </w:rPr>
        <w:t>DEWELOPERSKIEGO</w:t>
      </w:r>
      <w:r w:rsidR="00513B65" w:rsidRPr="00DB5E12">
        <w:rPr>
          <w:rFonts w:ascii="Titillium" w:eastAsia="Times New Roman" w:hAnsi="Titillium" w:cs="Times New Roman"/>
          <w:b/>
          <w:sz w:val="20"/>
        </w:rPr>
        <w:t xml:space="preserve"> </w:t>
      </w:r>
      <w:r w:rsidR="00513B65" w:rsidRPr="00DB5E12">
        <w:rPr>
          <w:rFonts w:ascii="Titillium" w:eastAsia="Times New Roman" w:hAnsi="Titillium" w:cs="Times New Roman"/>
          <w:bCs/>
          <w:sz w:val="20"/>
          <w:vertAlign w:val="superscript"/>
        </w:rPr>
        <w:t>43)</w:t>
      </w:r>
    </w:p>
    <w:tbl>
      <w:tblPr>
        <w:tblStyle w:val="TableGrid"/>
        <w:tblW w:w="9809" w:type="dxa"/>
        <w:tblInd w:w="109" w:type="dxa"/>
        <w:tblLayout w:type="fixed"/>
        <w:tblCellMar>
          <w:top w:w="182" w:type="dxa"/>
          <w:left w:w="107" w:type="dxa"/>
          <w:right w:w="57" w:type="dxa"/>
        </w:tblCellMar>
        <w:tblLook w:val="04A0" w:firstRow="1" w:lastRow="0" w:firstColumn="1" w:lastColumn="0" w:noHBand="0" w:noVBand="1"/>
      </w:tblPr>
      <w:tblGrid>
        <w:gridCol w:w="2863"/>
        <w:gridCol w:w="1985"/>
        <w:gridCol w:w="4961"/>
      </w:tblGrid>
      <w:tr w:rsidR="00095A92" w:rsidRPr="00580FE5" w14:paraId="3A282FB7" w14:textId="77777777" w:rsidTr="00A0199E">
        <w:trPr>
          <w:trHeight w:val="517"/>
        </w:trPr>
        <w:tc>
          <w:tcPr>
            <w:tcW w:w="9809"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31A8F768" w14:textId="12AC406C" w:rsidR="00095A92" w:rsidRPr="00580FE5" w:rsidRDefault="00095A92" w:rsidP="001C4DFE">
            <w:pPr>
              <w:spacing w:after="123"/>
              <w:rPr>
                <w:rFonts w:ascii="Titillium" w:hAnsi="Titillium"/>
              </w:rPr>
            </w:pPr>
            <w:r w:rsidRPr="00580FE5">
              <w:rPr>
                <w:rFonts w:ascii="Titillium" w:eastAsia="Times New Roman" w:hAnsi="Titillium" w:cs="Times New Roman"/>
                <w:b/>
                <w:sz w:val="20"/>
              </w:rPr>
              <w:t xml:space="preserve">INFORMACJE DOTYCZĄCE GRUNTU I ZAGOSPODAROWANIA PRZESTRZENNEGO TERENU </w:t>
            </w:r>
          </w:p>
        </w:tc>
      </w:tr>
      <w:tr w:rsidR="00095A92" w:rsidRPr="00580FE5" w14:paraId="4F94967E" w14:textId="77777777" w:rsidTr="00C64D58">
        <w:trPr>
          <w:trHeight w:val="659"/>
        </w:trPr>
        <w:tc>
          <w:tcPr>
            <w:tcW w:w="28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BB5EA4" w14:textId="15FDF04F" w:rsidR="00095A92" w:rsidRPr="009D7FC0" w:rsidRDefault="00095A92">
            <w:pPr>
              <w:rPr>
                <w:rFonts w:ascii="Titillium" w:hAnsi="Titillium"/>
                <w:sz w:val="12"/>
                <w:szCs w:val="12"/>
              </w:rPr>
            </w:pPr>
            <w:r w:rsidRPr="00810CDE">
              <w:rPr>
                <w:rFonts w:ascii="Titillium" w:eastAsia="Times New Roman" w:hAnsi="Titillium" w:cs="Times New Roman"/>
                <w:sz w:val="16"/>
                <w:szCs w:val="16"/>
              </w:rPr>
              <w:t>Adres, numer działki ewidencyjnej i numer obrębu ewidencyjnego</w:t>
            </w:r>
            <w:r w:rsidR="009D7FC0">
              <w:rPr>
                <w:rFonts w:ascii="Titillium" w:eastAsia="Times New Roman" w:hAnsi="Titillium" w:cs="Times New Roman"/>
                <w:sz w:val="12"/>
                <w:szCs w:val="12"/>
              </w:rPr>
              <w:t>1)</w:t>
            </w:r>
          </w:p>
        </w:tc>
        <w:tc>
          <w:tcPr>
            <w:tcW w:w="6946" w:type="dxa"/>
            <w:gridSpan w:val="2"/>
            <w:tcBorders>
              <w:top w:val="single" w:sz="4" w:space="0" w:color="000000"/>
              <w:left w:val="single" w:sz="4" w:space="0" w:color="000000"/>
              <w:bottom w:val="single" w:sz="4" w:space="0" w:color="000000"/>
              <w:right w:val="single" w:sz="4" w:space="0" w:color="000000"/>
            </w:tcBorders>
          </w:tcPr>
          <w:p w14:paraId="0CD12581" w14:textId="77777777" w:rsidR="006A751E" w:rsidRPr="00090CBE" w:rsidRDefault="006A751E" w:rsidP="004717D2">
            <w:pPr>
              <w:ind w:left="2"/>
              <w:jc w:val="both"/>
              <w:rPr>
                <w:rFonts w:ascii="Titillium" w:eastAsia="Times New Roman" w:hAnsi="Titillium" w:cs="Times New Roman"/>
                <w:b/>
                <w:bCs/>
                <w:sz w:val="16"/>
                <w:szCs w:val="16"/>
              </w:rPr>
            </w:pPr>
            <w:r w:rsidRPr="00090CBE">
              <w:rPr>
                <w:rFonts w:ascii="Titillium" w:eastAsia="Times New Roman" w:hAnsi="Titillium" w:cs="Times New Roman"/>
                <w:b/>
                <w:bCs/>
                <w:sz w:val="16"/>
                <w:szCs w:val="16"/>
              </w:rPr>
              <w:t>Białystok</w:t>
            </w:r>
          </w:p>
          <w:p w14:paraId="4E988D45" w14:textId="77777777" w:rsidR="006A751E" w:rsidRPr="00090CBE" w:rsidRDefault="006A751E" w:rsidP="004717D2">
            <w:pPr>
              <w:jc w:val="both"/>
              <w:rPr>
                <w:rFonts w:ascii="Titillium" w:hAnsi="Titillium"/>
                <w:b/>
                <w:bCs/>
                <w:sz w:val="16"/>
                <w:szCs w:val="16"/>
              </w:rPr>
            </w:pPr>
            <w:r w:rsidRPr="00090CBE">
              <w:rPr>
                <w:rFonts w:ascii="Titillium" w:hAnsi="Titillium"/>
                <w:b/>
                <w:bCs/>
                <w:sz w:val="16"/>
                <w:szCs w:val="16"/>
              </w:rPr>
              <w:t>ul. Czysta</w:t>
            </w:r>
          </w:p>
          <w:p w14:paraId="4D706DE0" w14:textId="228B1668" w:rsidR="006A751E" w:rsidRPr="00090CBE" w:rsidRDefault="006A751E" w:rsidP="004717D2">
            <w:pPr>
              <w:ind w:left="2"/>
              <w:jc w:val="both"/>
              <w:rPr>
                <w:rFonts w:ascii="Titillium" w:hAnsi="Titillium"/>
                <w:b/>
                <w:bCs/>
                <w:sz w:val="16"/>
                <w:szCs w:val="16"/>
              </w:rPr>
            </w:pPr>
            <w:r w:rsidRPr="00090CBE">
              <w:rPr>
                <w:rFonts w:ascii="Titillium" w:hAnsi="Titillium"/>
                <w:b/>
                <w:bCs/>
                <w:sz w:val="16"/>
                <w:szCs w:val="16"/>
              </w:rPr>
              <w:t xml:space="preserve">działki o nr </w:t>
            </w:r>
            <w:proofErr w:type="spellStart"/>
            <w:r w:rsidRPr="00090CBE">
              <w:rPr>
                <w:rFonts w:ascii="Titillium" w:hAnsi="Titillium"/>
                <w:b/>
                <w:bCs/>
                <w:sz w:val="16"/>
                <w:szCs w:val="16"/>
              </w:rPr>
              <w:t>ewid</w:t>
            </w:r>
            <w:proofErr w:type="spellEnd"/>
            <w:r w:rsidRPr="00090CBE">
              <w:rPr>
                <w:rFonts w:ascii="Titillium" w:hAnsi="Titillium"/>
                <w:b/>
                <w:bCs/>
                <w:sz w:val="16"/>
                <w:szCs w:val="16"/>
              </w:rPr>
              <w:t xml:space="preserve">.  149/3 oraz część działek </w:t>
            </w:r>
            <w:r w:rsidR="00142902">
              <w:rPr>
                <w:rFonts w:ascii="Titillium" w:hAnsi="Titillium"/>
                <w:b/>
                <w:bCs/>
                <w:sz w:val="16"/>
                <w:szCs w:val="16"/>
              </w:rPr>
              <w:t xml:space="preserve">o </w:t>
            </w:r>
            <w:r w:rsidRPr="00090CBE">
              <w:rPr>
                <w:rFonts w:ascii="Titillium" w:hAnsi="Titillium"/>
                <w:b/>
                <w:bCs/>
                <w:sz w:val="16"/>
                <w:szCs w:val="16"/>
              </w:rPr>
              <w:t xml:space="preserve">nr </w:t>
            </w:r>
            <w:proofErr w:type="spellStart"/>
            <w:r w:rsidRPr="00090CBE">
              <w:rPr>
                <w:rFonts w:ascii="Titillium" w:hAnsi="Titillium"/>
                <w:b/>
                <w:bCs/>
                <w:sz w:val="16"/>
                <w:szCs w:val="16"/>
              </w:rPr>
              <w:t>ewid</w:t>
            </w:r>
            <w:proofErr w:type="spellEnd"/>
            <w:r w:rsidRPr="00090CBE">
              <w:rPr>
                <w:rFonts w:ascii="Titillium" w:hAnsi="Titillium"/>
                <w:b/>
                <w:bCs/>
                <w:sz w:val="16"/>
                <w:szCs w:val="16"/>
              </w:rPr>
              <w:t>. 146/2, 147/1, 148/1, 150/1</w:t>
            </w:r>
          </w:p>
          <w:p w14:paraId="01F3E83D" w14:textId="002EFABB" w:rsidR="006A751E" w:rsidRDefault="006A751E" w:rsidP="004717D2">
            <w:pPr>
              <w:ind w:left="2"/>
              <w:jc w:val="both"/>
              <w:rPr>
                <w:rFonts w:ascii="Titillium" w:hAnsi="Titillium"/>
                <w:b/>
                <w:bCs/>
                <w:sz w:val="16"/>
                <w:szCs w:val="16"/>
              </w:rPr>
            </w:pPr>
            <w:r w:rsidRPr="00090CBE">
              <w:rPr>
                <w:rFonts w:ascii="Titillium" w:hAnsi="Titillium"/>
                <w:b/>
                <w:bCs/>
                <w:sz w:val="16"/>
                <w:szCs w:val="16"/>
              </w:rPr>
              <w:t>obręb 11 Śródmieście</w:t>
            </w:r>
          </w:p>
          <w:p w14:paraId="466993A6" w14:textId="456A31C9" w:rsidR="0076409F" w:rsidRDefault="0076409F" w:rsidP="004717D2">
            <w:pPr>
              <w:ind w:left="2"/>
              <w:jc w:val="both"/>
              <w:rPr>
                <w:rFonts w:ascii="Titillium" w:hAnsi="Titillium"/>
                <w:b/>
                <w:bCs/>
                <w:sz w:val="16"/>
                <w:szCs w:val="16"/>
              </w:rPr>
            </w:pPr>
            <w:r>
              <w:rPr>
                <w:rFonts w:ascii="Titillium" w:hAnsi="Titillium"/>
                <w:b/>
                <w:bCs/>
                <w:sz w:val="16"/>
                <w:szCs w:val="16"/>
              </w:rPr>
              <w:t>Białystok</w:t>
            </w:r>
          </w:p>
          <w:p w14:paraId="505ABFD3" w14:textId="77777777" w:rsidR="00FD4375" w:rsidRDefault="0076409F" w:rsidP="004717D2">
            <w:pPr>
              <w:ind w:left="2"/>
              <w:jc w:val="both"/>
              <w:rPr>
                <w:rFonts w:ascii="Titillium" w:hAnsi="Titillium"/>
                <w:b/>
                <w:bCs/>
                <w:sz w:val="16"/>
                <w:szCs w:val="16"/>
              </w:rPr>
            </w:pPr>
            <w:r w:rsidRPr="0076409F">
              <w:rPr>
                <w:rFonts w:ascii="Titillium" w:hAnsi="Titillium"/>
                <w:b/>
                <w:bCs/>
                <w:sz w:val="16"/>
                <w:szCs w:val="16"/>
              </w:rPr>
              <w:t xml:space="preserve">Zgodnie z Postanowieniem </w:t>
            </w:r>
            <w:r>
              <w:rPr>
                <w:rFonts w:ascii="Titillium" w:hAnsi="Titillium"/>
                <w:b/>
                <w:bCs/>
                <w:sz w:val="16"/>
                <w:szCs w:val="16"/>
              </w:rPr>
              <w:t>URB-VII.6724.66.2025</w:t>
            </w:r>
            <w:r w:rsidRPr="0076409F">
              <w:rPr>
                <w:rFonts w:ascii="Titillium" w:hAnsi="Titillium"/>
                <w:b/>
                <w:bCs/>
                <w:sz w:val="16"/>
                <w:szCs w:val="16"/>
              </w:rPr>
              <w:t xml:space="preserve"> z dnia </w:t>
            </w:r>
            <w:r>
              <w:rPr>
                <w:rFonts w:ascii="Titillium" w:hAnsi="Titillium"/>
                <w:b/>
                <w:bCs/>
                <w:sz w:val="16"/>
                <w:szCs w:val="16"/>
              </w:rPr>
              <w:t>20</w:t>
            </w:r>
            <w:r w:rsidRPr="0076409F">
              <w:rPr>
                <w:rFonts w:ascii="Titillium" w:hAnsi="Titillium"/>
                <w:b/>
                <w:bCs/>
                <w:sz w:val="16"/>
                <w:szCs w:val="16"/>
              </w:rPr>
              <w:t>.</w:t>
            </w:r>
            <w:r>
              <w:rPr>
                <w:rFonts w:ascii="Titillium" w:hAnsi="Titillium"/>
                <w:b/>
                <w:bCs/>
                <w:sz w:val="16"/>
                <w:szCs w:val="16"/>
              </w:rPr>
              <w:t>05</w:t>
            </w:r>
            <w:r w:rsidRPr="0076409F">
              <w:rPr>
                <w:rFonts w:ascii="Titillium" w:hAnsi="Titillium"/>
                <w:b/>
                <w:bCs/>
                <w:sz w:val="16"/>
                <w:szCs w:val="16"/>
              </w:rPr>
              <w:t>.202</w:t>
            </w:r>
            <w:r>
              <w:rPr>
                <w:rFonts w:ascii="Titillium" w:hAnsi="Titillium"/>
                <w:b/>
                <w:bCs/>
                <w:sz w:val="16"/>
                <w:szCs w:val="16"/>
              </w:rPr>
              <w:t>5</w:t>
            </w:r>
            <w:r w:rsidRPr="0076409F">
              <w:rPr>
                <w:rFonts w:ascii="Titillium" w:hAnsi="Titillium"/>
                <w:b/>
                <w:bCs/>
                <w:sz w:val="16"/>
                <w:szCs w:val="16"/>
              </w:rPr>
              <w:t>r</w:t>
            </w:r>
            <w:r w:rsidR="00FD4375">
              <w:rPr>
                <w:rFonts w:ascii="Titillium" w:hAnsi="Titillium"/>
                <w:b/>
                <w:bCs/>
                <w:sz w:val="16"/>
                <w:szCs w:val="16"/>
              </w:rPr>
              <w:t>:</w:t>
            </w:r>
          </w:p>
          <w:p w14:paraId="75B36688" w14:textId="6ACBCBDA" w:rsidR="00FD4375" w:rsidRPr="004717D2" w:rsidRDefault="00FD4375" w:rsidP="004717D2">
            <w:pPr>
              <w:ind w:left="2"/>
              <w:jc w:val="both"/>
              <w:rPr>
                <w:rFonts w:ascii="Titillium" w:hAnsi="Titillium"/>
                <w:sz w:val="16"/>
                <w:szCs w:val="16"/>
              </w:rPr>
            </w:pPr>
            <w:r w:rsidRPr="004717D2">
              <w:rPr>
                <w:rFonts w:ascii="Titillium" w:hAnsi="Titillium"/>
                <w:sz w:val="16"/>
                <w:szCs w:val="16"/>
              </w:rPr>
              <w:t xml:space="preserve">- </w:t>
            </w:r>
            <w:r w:rsidR="0076409F" w:rsidRPr="004717D2">
              <w:rPr>
                <w:rFonts w:ascii="Titillium" w:hAnsi="Titillium"/>
                <w:sz w:val="16"/>
                <w:szCs w:val="16"/>
              </w:rPr>
              <w:t xml:space="preserve"> </w:t>
            </w:r>
            <w:r w:rsidRPr="004717D2">
              <w:rPr>
                <w:rFonts w:ascii="Titillium" w:hAnsi="Titillium"/>
                <w:sz w:val="16"/>
                <w:szCs w:val="16"/>
              </w:rPr>
              <w:t>D</w:t>
            </w:r>
            <w:r w:rsidR="0076409F" w:rsidRPr="004717D2">
              <w:rPr>
                <w:rFonts w:ascii="Titillium" w:hAnsi="Titillium"/>
                <w:sz w:val="16"/>
                <w:szCs w:val="16"/>
              </w:rPr>
              <w:t>ziałk</w:t>
            </w:r>
            <w:r w:rsidRPr="004717D2">
              <w:rPr>
                <w:rFonts w:ascii="Titillium" w:hAnsi="Titillium"/>
                <w:sz w:val="16"/>
                <w:szCs w:val="16"/>
              </w:rPr>
              <w:t>a</w:t>
            </w:r>
            <w:r w:rsidR="0076409F" w:rsidRPr="004717D2">
              <w:rPr>
                <w:rFonts w:ascii="Titillium" w:hAnsi="Titillium"/>
                <w:sz w:val="16"/>
                <w:szCs w:val="16"/>
              </w:rPr>
              <w:t xml:space="preserve"> nr 146/2 o pow. 0,0348 ha</w:t>
            </w:r>
            <w:r w:rsidRPr="004717D2">
              <w:rPr>
                <w:rFonts w:ascii="Titillium" w:hAnsi="Titillium"/>
                <w:sz w:val="16"/>
                <w:szCs w:val="16"/>
              </w:rPr>
              <w:t xml:space="preserve"> (obręb nr 11 – Śródmieście) zostanie podzielona na działkę nr 146/5 o pow. 0,0029 ha oraz działkę nr 146/6 o pow. 0,0319 ha</w:t>
            </w:r>
            <w:r w:rsidR="0076409F" w:rsidRPr="004717D2">
              <w:rPr>
                <w:rFonts w:ascii="Titillium" w:hAnsi="Titillium"/>
                <w:sz w:val="16"/>
                <w:szCs w:val="16"/>
              </w:rPr>
              <w:t xml:space="preserve">; </w:t>
            </w:r>
            <w:r w:rsidRPr="004717D2">
              <w:rPr>
                <w:rFonts w:ascii="Titillium" w:hAnsi="Titillium"/>
                <w:sz w:val="16"/>
                <w:szCs w:val="16"/>
              </w:rPr>
              <w:t xml:space="preserve">Działka nr  146/5 o pow. 0,0029 ha zgodnie z ustaleniami planu miejscowego zostanie zagospodarowana pod </w:t>
            </w:r>
            <w:r w:rsidR="00033885" w:rsidRPr="004717D2">
              <w:rPr>
                <w:rFonts w:ascii="Titillium" w:hAnsi="Titillium"/>
                <w:sz w:val="16"/>
                <w:szCs w:val="16"/>
              </w:rPr>
              <w:t>drogę publiczną</w:t>
            </w:r>
            <w:r w:rsidRPr="004717D2">
              <w:rPr>
                <w:rFonts w:ascii="Titillium" w:hAnsi="Titillium"/>
                <w:sz w:val="16"/>
                <w:szCs w:val="16"/>
              </w:rPr>
              <w:t xml:space="preserve"> 2KD-Z.</w:t>
            </w:r>
          </w:p>
          <w:p w14:paraId="41AE60BC" w14:textId="7AF1A9A5" w:rsidR="00FD4375" w:rsidRPr="004717D2" w:rsidRDefault="00FD4375" w:rsidP="004717D2">
            <w:pPr>
              <w:ind w:left="2"/>
              <w:jc w:val="both"/>
              <w:rPr>
                <w:rFonts w:ascii="Titillium" w:hAnsi="Titillium"/>
                <w:sz w:val="16"/>
                <w:szCs w:val="16"/>
              </w:rPr>
            </w:pPr>
            <w:r w:rsidRPr="004717D2">
              <w:rPr>
                <w:rFonts w:ascii="Titillium" w:hAnsi="Titillium"/>
                <w:sz w:val="16"/>
                <w:szCs w:val="16"/>
              </w:rPr>
              <w:t xml:space="preserve">-  Działka nr 147/1 o pow. 0,0411 ha (obręb nr 11 – Śródmieście) zostanie podzielona na działkę nr 147/4 o pow. 0,0035 ha oraz działkę nr 147/5 o pow. 0,0376 ha; Działka nr  147/4 o pow. 0,0035 ha zgodnie z ustaleniami planu miejscowego zostanie zagospodarowana pod </w:t>
            </w:r>
            <w:r w:rsidR="00033885" w:rsidRPr="004717D2">
              <w:rPr>
                <w:rFonts w:ascii="Titillium" w:hAnsi="Titillium"/>
                <w:sz w:val="16"/>
                <w:szCs w:val="16"/>
              </w:rPr>
              <w:t>drogę publiczną</w:t>
            </w:r>
            <w:r w:rsidRPr="004717D2">
              <w:rPr>
                <w:rFonts w:ascii="Titillium" w:hAnsi="Titillium"/>
                <w:sz w:val="16"/>
                <w:szCs w:val="16"/>
              </w:rPr>
              <w:t xml:space="preserve"> 2KD-Z.</w:t>
            </w:r>
          </w:p>
          <w:p w14:paraId="7A3F0BDA" w14:textId="77777777" w:rsidR="00C64D58" w:rsidRPr="004717D2" w:rsidRDefault="00FD4375" w:rsidP="004717D2">
            <w:pPr>
              <w:ind w:left="2"/>
              <w:jc w:val="both"/>
              <w:rPr>
                <w:rFonts w:ascii="Titillium" w:hAnsi="Titillium"/>
                <w:sz w:val="16"/>
                <w:szCs w:val="16"/>
              </w:rPr>
            </w:pPr>
            <w:r w:rsidRPr="004717D2">
              <w:rPr>
                <w:rFonts w:ascii="Titillium" w:hAnsi="Titillium"/>
                <w:sz w:val="16"/>
                <w:szCs w:val="16"/>
              </w:rPr>
              <w:t>-  Działka nr 148/1 o pow. 0,0</w:t>
            </w:r>
            <w:r w:rsidR="00675667" w:rsidRPr="004717D2">
              <w:rPr>
                <w:rFonts w:ascii="Titillium" w:hAnsi="Titillium"/>
                <w:sz w:val="16"/>
                <w:szCs w:val="16"/>
              </w:rPr>
              <w:t>262</w:t>
            </w:r>
            <w:r w:rsidRPr="004717D2">
              <w:rPr>
                <w:rFonts w:ascii="Titillium" w:hAnsi="Titillium"/>
                <w:sz w:val="16"/>
                <w:szCs w:val="16"/>
              </w:rPr>
              <w:t xml:space="preserve"> ha (obręb nr 11 – Śródmieście) zostanie podzielona na działkę nr 14</w:t>
            </w:r>
            <w:r w:rsidR="00675667" w:rsidRPr="004717D2">
              <w:rPr>
                <w:rFonts w:ascii="Titillium" w:hAnsi="Titillium"/>
                <w:sz w:val="16"/>
                <w:szCs w:val="16"/>
              </w:rPr>
              <w:t>8</w:t>
            </w:r>
            <w:r w:rsidRPr="004717D2">
              <w:rPr>
                <w:rFonts w:ascii="Titillium" w:hAnsi="Titillium"/>
                <w:sz w:val="16"/>
                <w:szCs w:val="16"/>
              </w:rPr>
              <w:t>/</w:t>
            </w:r>
            <w:r w:rsidR="00675667" w:rsidRPr="004717D2">
              <w:rPr>
                <w:rFonts w:ascii="Titillium" w:hAnsi="Titillium"/>
                <w:sz w:val="16"/>
                <w:szCs w:val="16"/>
              </w:rPr>
              <w:t>3</w:t>
            </w:r>
            <w:r w:rsidRPr="004717D2">
              <w:rPr>
                <w:rFonts w:ascii="Titillium" w:hAnsi="Titillium"/>
                <w:sz w:val="16"/>
                <w:szCs w:val="16"/>
              </w:rPr>
              <w:t xml:space="preserve"> o pow. 0,002</w:t>
            </w:r>
            <w:r w:rsidR="00675667" w:rsidRPr="004717D2">
              <w:rPr>
                <w:rFonts w:ascii="Titillium" w:hAnsi="Titillium"/>
                <w:sz w:val="16"/>
                <w:szCs w:val="16"/>
              </w:rPr>
              <w:t>0</w:t>
            </w:r>
            <w:r w:rsidRPr="004717D2">
              <w:rPr>
                <w:rFonts w:ascii="Titillium" w:hAnsi="Titillium"/>
                <w:sz w:val="16"/>
                <w:szCs w:val="16"/>
              </w:rPr>
              <w:t xml:space="preserve"> ha oraz działkę nr 14</w:t>
            </w:r>
            <w:r w:rsidR="00675667" w:rsidRPr="004717D2">
              <w:rPr>
                <w:rFonts w:ascii="Titillium" w:hAnsi="Titillium"/>
                <w:sz w:val="16"/>
                <w:szCs w:val="16"/>
              </w:rPr>
              <w:t>8</w:t>
            </w:r>
            <w:r w:rsidRPr="004717D2">
              <w:rPr>
                <w:rFonts w:ascii="Titillium" w:hAnsi="Titillium"/>
                <w:sz w:val="16"/>
                <w:szCs w:val="16"/>
              </w:rPr>
              <w:t>/</w:t>
            </w:r>
            <w:r w:rsidR="00675667" w:rsidRPr="004717D2">
              <w:rPr>
                <w:rFonts w:ascii="Titillium" w:hAnsi="Titillium"/>
                <w:sz w:val="16"/>
                <w:szCs w:val="16"/>
              </w:rPr>
              <w:t>4</w:t>
            </w:r>
            <w:r w:rsidRPr="004717D2">
              <w:rPr>
                <w:rFonts w:ascii="Titillium" w:hAnsi="Titillium"/>
                <w:sz w:val="16"/>
                <w:szCs w:val="16"/>
              </w:rPr>
              <w:t xml:space="preserve"> o pow. 0,0</w:t>
            </w:r>
            <w:r w:rsidR="00675667" w:rsidRPr="004717D2">
              <w:rPr>
                <w:rFonts w:ascii="Titillium" w:hAnsi="Titillium"/>
                <w:sz w:val="16"/>
                <w:szCs w:val="16"/>
              </w:rPr>
              <w:t>242</w:t>
            </w:r>
            <w:r w:rsidRPr="004717D2">
              <w:rPr>
                <w:rFonts w:ascii="Titillium" w:hAnsi="Titillium"/>
                <w:sz w:val="16"/>
                <w:szCs w:val="16"/>
              </w:rPr>
              <w:t xml:space="preserve"> ha; Działka nr  14</w:t>
            </w:r>
            <w:r w:rsidR="00675667" w:rsidRPr="004717D2">
              <w:rPr>
                <w:rFonts w:ascii="Titillium" w:hAnsi="Titillium"/>
                <w:sz w:val="16"/>
                <w:szCs w:val="16"/>
              </w:rPr>
              <w:t>8/3</w:t>
            </w:r>
            <w:r w:rsidRPr="004717D2">
              <w:rPr>
                <w:rFonts w:ascii="Titillium" w:hAnsi="Titillium"/>
                <w:sz w:val="16"/>
                <w:szCs w:val="16"/>
              </w:rPr>
              <w:t xml:space="preserve"> o pow. 0,002</w:t>
            </w:r>
            <w:r w:rsidR="00675667" w:rsidRPr="004717D2">
              <w:rPr>
                <w:rFonts w:ascii="Titillium" w:hAnsi="Titillium"/>
                <w:sz w:val="16"/>
                <w:szCs w:val="16"/>
              </w:rPr>
              <w:t>0</w:t>
            </w:r>
            <w:r w:rsidRPr="004717D2">
              <w:rPr>
                <w:rFonts w:ascii="Titillium" w:hAnsi="Titillium"/>
                <w:sz w:val="16"/>
                <w:szCs w:val="16"/>
              </w:rPr>
              <w:t xml:space="preserve"> ha zgodnie z ustaleniami planu miejscowego zostanie zagospodarowana pod </w:t>
            </w:r>
            <w:r w:rsidR="00033885" w:rsidRPr="004717D2">
              <w:rPr>
                <w:rFonts w:ascii="Titillium" w:hAnsi="Titillium"/>
                <w:sz w:val="16"/>
                <w:szCs w:val="16"/>
              </w:rPr>
              <w:t>drogę publiczną</w:t>
            </w:r>
            <w:r w:rsidRPr="004717D2">
              <w:rPr>
                <w:rFonts w:ascii="Titillium" w:hAnsi="Titillium"/>
                <w:sz w:val="16"/>
                <w:szCs w:val="16"/>
              </w:rPr>
              <w:t xml:space="preserve"> 2KD-Z.</w:t>
            </w:r>
          </w:p>
          <w:p w14:paraId="42AE8ADE" w14:textId="77777777" w:rsidR="002E03C1" w:rsidRPr="004717D2" w:rsidRDefault="00675667" w:rsidP="004717D2">
            <w:pPr>
              <w:ind w:left="2"/>
              <w:jc w:val="both"/>
              <w:rPr>
                <w:rFonts w:ascii="Titillium" w:hAnsi="Titillium"/>
                <w:sz w:val="16"/>
                <w:szCs w:val="16"/>
              </w:rPr>
            </w:pPr>
            <w:r w:rsidRPr="004717D2">
              <w:rPr>
                <w:rFonts w:ascii="Titillium" w:hAnsi="Titillium"/>
                <w:sz w:val="16"/>
                <w:szCs w:val="16"/>
              </w:rPr>
              <w:lastRenderedPageBreak/>
              <w:t xml:space="preserve">-  Działka nr 150/1 o pow. 0,0386 ha (obręb nr 11 – Śródmieście) zostanie podzielona na działkę nr 150/3 o pow. 0,0025 ha oraz działkę nr 150/4 o pow. 0,0361 ha; Działka nr  150/3 o pow. 0,0025 ha zgodnie z ustaleniami planu miejscowego zostanie zagospodarowana pod </w:t>
            </w:r>
            <w:r w:rsidR="00033885" w:rsidRPr="004717D2">
              <w:rPr>
                <w:rFonts w:ascii="Titillium" w:hAnsi="Titillium"/>
                <w:sz w:val="16"/>
                <w:szCs w:val="16"/>
              </w:rPr>
              <w:t>drogę publiczną</w:t>
            </w:r>
            <w:r w:rsidRPr="004717D2">
              <w:rPr>
                <w:rFonts w:ascii="Titillium" w:hAnsi="Titillium"/>
                <w:sz w:val="16"/>
                <w:szCs w:val="16"/>
              </w:rPr>
              <w:t xml:space="preserve"> 2KD-Z.</w:t>
            </w:r>
            <w:r w:rsidR="0076409F" w:rsidRPr="004717D2">
              <w:rPr>
                <w:rFonts w:ascii="Titillium" w:hAnsi="Titillium"/>
                <w:sz w:val="16"/>
                <w:szCs w:val="16"/>
              </w:rPr>
              <w:t xml:space="preserve"> </w:t>
            </w:r>
          </w:p>
          <w:p w14:paraId="592A8747" w14:textId="772C81CB" w:rsidR="004717D2" w:rsidRPr="00471890" w:rsidRDefault="004717D2" w:rsidP="004717D2">
            <w:pPr>
              <w:ind w:left="2"/>
              <w:jc w:val="both"/>
              <w:rPr>
                <w:rFonts w:ascii="Titillium" w:hAnsi="Titillium"/>
                <w:b/>
                <w:bCs/>
                <w:sz w:val="16"/>
                <w:szCs w:val="16"/>
              </w:rPr>
            </w:pPr>
            <w:r w:rsidRPr="004717D2">
              <w:rPr>
                <w:rFonts w:ascii="Titillium" w:hAnsi="Titillium"/>
                <w:b/>
                <w:bCs/>
                <w:sz w:val="16"/>
                <w:szCs w:val="16"/>
              </w:rPr>
              <w:t>Działki oznaczone numerami geodezyjnymi: 146/5; 147/4; 148/3 i 150/3 o</w:t>
            </w:r>
            <w:r>
              <w:rPr>
                <w:rFonts w:ascii="Titillium" w:hAnsi="Titillium"/>
                <w:b/>
                <w:bCs/>
                <w:sz w:val="16"/>
                <w:szCs w:val="16"/>
              </w:rPr>
              <w:t xml:space="preserve">  </w:t>
            </w:r>
            <w:r w:rsidRPr="004717D2">
              <w:rPr>
                <w:rFonts w:ascii="Titillium" w:hAnsi="Titillium"/>
                <w:b/>
                <w:bCs/>
                <w:sz w:val="16"/>
                <w:szCs w:val="16"/>
              </w:rPr>
              <w:t xml:space="preserve">łącznej powierzchni 0,0109 ha przejdą na własność Gminy </w:t>
            </w:r>
            <w:r w:rsidRPr="004717D2">
              <w:rPr>
                <w:rFonts w:ascii="Titillium" w:hAnsi="Titillium"/>
                <w:b/>
                <w:bCs/>
                <w:sz w:val="16"/>
                <w:szCs w:val="16"/>
              </w:rPr>
              <w:t>Białystok</w:t>
            </w:r>
            <w:r w:rsidRPr="004717D2">
              <w:rPr>
                <w:rFonts w:ascii="Titillium" w:hAnsi="Titillium"/>
                <w:b/>
                <w:bCs/>
                <w:sz w:val="16"/>
                <w:szCs w:val="16"/>
              </w:rPr>
              <w:t xml:space="preserve">, zostaną odłączone do osobnej księgi </w:t>
            </w:r>
            <w:r>
              <w:rPr>
                <w:rFonts w:ascii="Titillium" w:hAnsi="Titillium"/>
                <w:b/>
                <w:bCs/>
                <w:sz w:val="16"/>
                <w:szCs w:val="16"/>
              </w:rPr>
              <w:t>w</w:t>
            </w:r>
            <w:r w:rsidRPr="004717D2">
              <w:rPr>
                <w:rFonts w:ascii="Titillium" w:hAnsi="Titillium"/>
                <w:b/>
                <w:bCs/>
                <w:sz w:val="16"/>
                <w:szCs w:val="16"/>
              </w:rPr>
              <w:t>ieczystej i nie będzie na nich prowadzone przedmiotowe przedsięwzięcie deweloperskie.</w:t>
            </w:r>
          </w:p>
        </w:tc>
      </w:tr>
      <w:tr w:rsidR="00095A92" w:rsidRPr="00580FE5" w14:paraId="067E6C48" w14:textId="77777777" w:rsidTr="00A0199E">
        <w:trPr>
          <w:trHeight w:val="238"/>
        </w:trPr>
        <w:tc>
          <w:tcPr>
            <w:tcW w:w="28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5E489A" w14:textId="77777777" w:rsidR="00095A92" w:rsidRPr="00810CDE" w:rsidRDefault="00095A92">
            <w:pPr>
              <w:rPr>
                <w:rFonts w:ascii="Titillium" w:hAnsi="Titillium"/>
                <w:sz w:val="16"/>
                <w:szCs w:val="16"/>
              </w:rPr>
            </w:pPr>
            <w:r w:rsidRPr="00810CDE">
              <w:rPr>
                <w:rFonts w:ascii="Titillium" w:eastAsia="Times New Roman" w:hAnsi="Titillium" w:cs="Times New Roman"/>
                <w:sz w:val="16"/>
                <w:szCs w:val="16"/>
              </w:rPr>
              <w:lastRenderedPageBreak/>
              <w:t xml:space="preserve">Numer księgi wieczystej  </w:t>
            </w:r>
          </w:p>
        </w:tc>
        <w:tc>
          <w:tcPr>
            <w:tcW w:w="6946" w:type="dxa"/>
            <w:gridSpan w:val="2"/>
            <w:tcBorders>
              <w:top w:val="single" w:sz="4" w:space="0" w:color="000000"/>
              <w:left w:val="single" w:sz="4" w:space="0" w:color="000000"/>
              <w:bottom w:val="single" w:sz="4" w:space="0" w:color="000000"/>
              <w:right w:val="single" w:sz="4" w:space="0" w:color="000000"/>
            </w:tcBorders>
            <w:vAlign w:val="center"/>
          </w:tcPr>
          <w:p w14:paraId="4613F3D7" w14:textId="720FDDCA" w:rsidR="00095A92" w:rsidRPr="004D78CA" w:rsidRDefault="00E25D24" w:rsidP="00810CDE">
            <w:pPr>
              <w:rPr>
                <w:rFonts w:ascii="Titillium" w:hAnsi="Titillium"/>
                <w:b/>
                <w:bCs/>
                <w:sz w:val="16"/>
                <w:szCs w:val="16"/>
              </w:rPr>
            </w:pPr>
            <w:r w:rsidRPr="004D78CA">
              <w:rPr>
                <w:rFonts w:ascii="Titillium" w:eastAsia="Times New Roman" w:hAnsi="Titillium" w:cs="Times New Roman"/>
                <w:b/>
                <w:bCs/>
                <w:sz w:val="16"/>
                <w:szCs w:val="16"/>
              </w:rPr>
              <w:t>BI1B/000</w:t>
            </w:r>
            <w:r w:rsidR="004D78CA" w:rsidRPr="004D78CA">
              <w:rPr>
                <w:rFonts w:ascii="Titillium" w:eastAsia="Times New Roman" w:hAnsi="Titillium" w:cs="Times New Roman"/>
                <w:b/>
                <w:bCs/>
                <w:sz w:val="16"/>
                <w:szCs w:val="16"/>
              </w:rPr>
              <w:t>99178/6</w:t>
            </w:r>
          </w:p>
        </w:tc>
      </w:tr>
      <w:tr w:rsidR="003030F1" w:rsidRPr="00580FE5" w14:paraId="2680DCA4" w14:textId="77777777" w:rsidTr="00A0199E">
        <w:trPr>
          <w:trHeight w:val="745"/>
        </w:trPr>
        <w:tc>
          <w:tcPr>
            <w:tcW w:w="28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0CAC38" w14:textId="77777777" w:rsidR="003030F1" w:rsidRPr="00D63FC3" w:rsidRDefault="003030F1" w:rsidP="003030F1">
            <w:pPr>
              <w:ind w:right="50"/>
              <w:rPr>
                <w:rFonts w:ascii="Titillium" w:hAnsi="Titillium"/>
                <w:sz w:val="16"/>
                <w:szCs w:val="16"/>
              </w:rPr>
            </w:pPr>
            <w:r w:rsidRPr="00D63FC3">
              <w:rPr>
                <w:rFonts w:ascii="Titillium" w:eastAsia="Times New Roman" w:hAnsi="Titillium" w:cs="Times New Roman"/>
                <w:sz w:val="16"/>
                <w:szCs w:val="16"/>
              </w:rPr>
              <w:t xml:space="preserve">Istniejące obciążenia hipoteczne nieruchomości lub wnioski o wpis w dziale czwartym księgi wieczystej </w:t>
            </w:r>
          </w:p>
        </w:tc>
        <w:tc>
          <w:tcPr>
            <w:tcW w:w="6946" w:type="dxa"/>
            <w:gridSpan w:val="2"/>
            <w:tcBorders>
              <w:top w:val="single" w:sz="4" w:space="0" w:color="000000"/>
              <w:left w:val="single" w:sz="4" w:space="0" w:color="000000"/>
              <w:bottom w:val="single" w:sz="4" w:space="0" w:color="000000"/>
              <w:right w:val="single" w:sz="4" w:space="0" w:color="000000"/>
            </w:tcBorders>
          </w:tcPr>
          <w:p w14:paraId="7037C4AC" w14:textId="7B2519EB" w:rsidR="003030F1" w:rsidRPr="004717D2" w:rsidRDefault="004717D2" w:rsidP="004717D2">
            <w:pPr>
              <w:ind w:left="2"/>
              <w:jc w:val="both"/>
              <w:rPr>
                <w:rFonts w:ascii="Titillium" w:hAnsi="Titillium"/>
                <w:b/>
                <w:bCs/>
                <w:sz w:val="16"/>
                <w:szCs w:val="16"/>
              </w:rPr>
            </w:pPr>
            <w:r w:rsidRPr="004717D2">
              <w:rPr>
                <w:rFonts w:ascii="Titillium" w:eastAsia="Times New Roman" w:hAnsi="Titillium" w:cs="Times New Roman"/>
                <w:b/>
                <w:bCs/>
                <w:sz w:val="16"/>
                <w:szCs w:val="16"/>
              </w:rPr>
              <w:t>Spółka planuje zaciągnięcie kredytu na finansowanie przedmiotowej inwestycji, wówczas nieruchomość będzie obciążona hipoteką</w:t>
            </w:r>
            <w:r w:rsidRPr="004717D2">
              <w:rPr>
                <w:rFonts w:ascii="Titillium" w:eastAsia="Times New Roman" w:hAnsi="Titillium" w:cs="Times New Roman"/>
                <w:b/>
                <w:bCs/>
                <w:sz w:val="16"/>
                <w:szCs w:val="16"/>
              </w:rPr>
              <w:t>.</w:t>
            </w:r>
          </w:p>
        </w:tc>
      </w:tr>
      <w:tr w:rsidR="003030F1" w:rsidRPr="00580FE5" w14:paraId="6B9ED382" w14:textId="77777777" w:rsidTr="00A0199E">
        <w:trPr>
          <w:trHeight w:val="711"/>
        </w:trPr>
        <w:tc>
          <w:tcPr>
            <w:tcW w:w="28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9D579F" w14:textId="6A2732AF" w:rsidR="003030F1" w:rsidRPr="00D63FC3" w:rsidRDefault="003030F1" w:rsidP="003030F1">
            <w:pPr>
              <w:ind w:right="286"/>
              <w:rPr>
                <w:rFonts w:ascii="Titillium" w:hAnsi="Titillium"/>
                <w:sz w:val="12"/>
                <w:szCs w:val="12"/>
              </w:rPr>
            </w:pPr>
            <w:r w:rsidRPr="00D63FC3">
              <w:rPr>
                <w:rFonts w:ascii="Titillium" w:eastAsia="Times New Roman" w:hAnsi="Titillium" w:cs="Times New Roman"/>
                <w:sz w:val="16"/>
                <w:szCs w:val="16"/>
              </w:rPr>
              <w:t>W przypadku braku księgi wieczystej informacja o powierzchni działki i stanie prawnym nieruchomości</w:t>
            </w:r>
            <w:r w:rsidRPr="00D63FC3">
              <w:rPr>
                <w:rFonts w:ascii="Titillium" w:eastAsia="Times New Roman" w:hAnsi="Titillium" w:cs="Times New Roman"/>
                <w:sz w:val="12"/>
                <w:szCs w:val="12"/>
              </w:rPr>
              <w:t>2)</w:t>
            </w:r>
          </w:p>
        </w:tc>
        <w:tc>
          <w:tcPr>
            <w:tcW w:w="6946" w:type="dxa"/>
            <w:gridSpan w:val="2"/>
            <w:tcBorders>
              <w:top w:val="single" w:sz="4" w:space="0" w:color="000000"/>
              <w:left w:val="single" w:sz="4" w:space="0" w:color="000000"/>
              <w:bottom w:val="single" w:sz="4" w:space="0" w:color="000000"/>
              <w:right w:val="single" w:sz="4" w:space="0" w:color="000000"/>
            </w:tcBorders>
          </w:tcPr>
          <w:p w14:paraId="073732A7" w14:textId="4A458A6D" w:rsidR="003030F1" w:rsidRPr="00D63FC3" w:rsidRDefault="003030F1" w:rsidP="003030F1">
            <w:pPr>
              <w:ind w:left="2"/>
              <w:rPr>
                <w:rFonts w:ascii="Titillium" w:hAnsi="Titillium"/>
                <w:sz w:val="16"/>
                <w:szCs w:val="16"/>
              </w:rPr>
            </w:pPr>
            <w:r w:rsidRPr="00D63FC3">
              <w:rPr>
                <w:rFonts w:ascii="Titillium" w:eastAsia="Times New Roman" w:hAnsi="Titillium" w:cs="Times New Roman"/>
                <w:sz w:val="16"/>
                <w:szCs w:val="16"/>
              </w:rPr>
              <w:t xml:space="preserve"> </w:t>
            </w:r>
            <w:r w:rsidRPr="004D78CA">
              <w:rPr>
                <w:rFonts w:ascii="Titillium" w:eastAsia="Times New Roman" w:hAnsi="Titillium" w:cs="Times New Roman"/>
                <w:sz w:val="16"/>
                <w:szCs w:val="16"/>
              </w:rPr>
              <w:t xml:space="preserve">nie dotyczy  </w:t>
            </w:r>
          </w:p>
        </w:tc>
      </w:tr>
      <w:tr w:rsidR="003030F1" w:rsidRPr="00580FE5" w14:paraId="6B7F7138" w14:textId="77777777" w:rsidTr="00A0199E">
        <w:trPr>
          <w:trHeight w:val="783"/>
        </w:trPr>
        <w:tc>
          <w:tcPr>
            <w:tcW w:w="2863" w:type="dxa"/>
            <w:tcBorders>
              <w:top w:val="single" w:sz="4" w:space="0" w:color="000000"/>
              <w:left w:val="single" w:sz="4" w:space="0" w:color="000000"/>
              <w:bottom w:val="single" w:sz="4" w:space="0" w:color="000000"/>
              <w:right w:val="single" w:sz="4" w:space="0" w:color="000000"/>
            </w:tcBorders>
            <w:shd w:val="clear" w:color="auto" w:fill="F3F3F3"/>
          </w:tcPr>
          <w:p w14:paraId="47250DD3" w14:textId="77777777" w:rsidR="003030F1" w:rsidRPr="004D78CA" w:rsidRDefault="003030F1" w:rsidP="003030F1">
            <w:pPr>
              <w:ind w:right="126"/>
              <w:rPr>
                <w:rFonts w:ascii="Titillium" w:hAnsi="Titillium"/>
                <w:sz w:val="16"/>
                <w:szCs w:val="16"/>
              </w:rPr>
            </w:pPr>
            <w:r w:rsidRPr="004D78CA">
              <w:rPr>
                <w:rFonts w:ascii="Titillium" w:eastAsia="Times New Roman" w:hAnsi="Titillium" w:cs="Times New Roman"/>
                <w:sz w:val="16"/>
                <w:szCs w:val="16"/>
              </w:rPr>
              <w:t xml:space="preserve">Informacje dotyczące obiektów istniejących położonych w sąsiedztwie inwestycji </w:t>
            </w:r>
          </w:p>
          <w:p w14:paraId="73902B32" w14:textId="1B67C1EE" w:rsidR="003030F1" w:rsidRPr="004D78CA" w:rsidRDefault="003030F1" w:rsidP="003030F1">
            <w:pPr>
              <w:rPr>
                <w:rFonts w:ascii="Titillium" w:eastAsia="Times New Roman" w:hAnsi="Titillium" w:cs="Times New Roman"/>
                <w:sz w:val="12"/>
                <w:szCs w:val="12"/>
              </w:rPr>
            </w:pPr>
            <w:r w:rsidRPr="004D78CA">
              <w:rPr>
                <w:rFonts w:ascii="Titillium" w:eastAsia="Times New Roman" w:hAnsi="Titillium" w:cs="Times New Roman"/>
                <w:sz w:val="16"/>
                <w:szCs w:val="16"/>
              </w:rPr>
              <w:t>i wpływających na warunki życia</w:t>
            </w:r>
            <w:r w:rsidRPr="004D78CA">
              <w:rPr>
                <w:rFonts w:ascii="Titillium" w:eastAsia="Times New Roman" w:hAnsi="Titillium" w:cs="Times New Roman"/>
                <w:sz w:val="12"/>
                <w:szCs w:val="12"/>
              </w:rPr>
              <w:t>3)</w:t>
            </w:r>
          </w:p>
        </w:tc>
        <w:tc>
          <w:tcPr>
            <w:tcW w:w="6946" w:type="dxa"/>
            <w:gridSpan w:val="2"/>
            <w:tcBorders>
              <w:top w:val="single" w:sz="4" w:space="0" w:color="000000"/>
              <w:left w:val="single" w:sz="4" w:space="0" w:color="000000"/>
              <w:bottom w:val="single" w:sz="4" w:space="0" w:color="000000"/>
              <w:right w:val="single" w:sz="4" w:space="0" w:color="000000"/>
            </w:tcBorders>
            <w:vAlign w:val="center"/>
          </w:tcPr>
          <w:p w14:paraId="08657AAC" w14:textId="58096EA8" w:rsidR="003030F1" w:rsidRPr="004D78CA" w:rsidRDefault="003030F1" w:rsidP="003030F1">
            <w:pPr>
              <w:ind w:left="2"/>
              <w:jc w:val="both"/>
              <w:rPr>
                <w:rFonts w:ascii="Titillium" w:eastAsia="Times New Roman" w:hAnsi="Titillium" w:cs="Times New Roman"/>
                <w:sz w:val="16"/>
                <w:szCs w:val="16"/>
                <w:u w:val="single"/>
              </w:rPr>
            </w:pPr>
            <w:r w:rsidRPr="004D78CA">
              <w:rPr>
                <w:rFonts w:ascii="Titillium" w:eastAsia="Times New Roman" w:hAnsi="Titillium" w:cs="Times New Roman"/>
                <w:sz w:val="16"/>
                <w:szCs w:val="16"/>
                <w:u w:val="single"/>
              </w:rPr>
              <w:t>Uwarunkowania lokalizacji inwestycji wynikające z istniejącego stanu użytkowania terenów sąsiednich (np. z funkcji terenu, stref ochronnych, uciążliwości):</w:t>
            </w:r>
          </w:p>
          <w:p w14:paraId="3BC1077B" w14:textId="7C2A0E97" w:rsidR="003030F1" w:rsidRPr="004D78CA" w:rsidRDefault="00E50A98" w:rsidP="003030F1">
            <w:pPr>
              <w:ind w:left="2"/>
              <w:jc w:val="both"/>
              <w:rPr>
                <w:rFonts w:ascii="Titillium" w:eastAsia="Times New Roman" w:hAnsi="Titillium" w:cs="Times New Roman"/>
                <w:sz w:val="16"/>
                <w:szCs w:val="16"/>
              </w:rPr>
            </w:pPr>
            <w:r>
              <w:rPr>
                <w:rFonts w:ascii="Titillium" w:eastAsia="Times New Roman" w:hAnsi="Titillium" w:cs="Times New Roman"/>
                <w:sz w:val="16"/>
                <w:szCs w:val="16"/>
              </w:rPr>
              <w:t>w</w:t>
            </w:r>
            <w:r w:rsidR="003030F1" w:rsidRPr="004D78CA">
              <w:rPr>
                <w:rFonts w:ascii="Titillium" w:eastAsia="Times New Roman" w:hAnsi="Titillium" w:cs="Times New Roman"/>
                <w:sz w:val="16"/>
                <w:szCs w:val="16"/>
              </w:rPr>
              <w:t xml:space="preserve"> odległości ok. 150m od terenu projektowanej inwestycji znajduje się teren kolejowy (dz. nr ew. gr. 798/106 oraz 834), po którym przebiega użytkowana linia kolejowa nr 6 (E75)</w:t>
            </w:r>
            <w:r w:rsidR="00C64D58">
              <w:rPr>
                <w:rFonts w:ascii="Titillium" w:eastAsia="Times New Roman" w:hAnsi="Titillium" w:cs="Times New Roman"/>
                <w:sz w:val="16"/>
                <w:szCs w:val="16"/>
              </w:rPr>
              <w:t xml:space="preserve"> </w:t>
            </w:r>
            <w:r>
              <w:rPr>
                <w:rFonts w:ascii="Titillium" w:eastAsia="Times New Roman" w:hAnsi="Titillium" w:cs="Times New Roman"/>
                <w:sz w:val="16"/>
                <w:szCs w:val="16"/>
              </w:rPr>
              <w:t>oraz znajduje się przejazd kolejowy</w:t>
            </w:r>
            <w:r w:rsidR="00C64D58">
              <w:rPr>
                <w:rFonts w:ascii="Titillium" w:eastAsia="Times New Roman" w:hAnsi="Titillium" w:cs="Times New Roman"/>
                <w:sz w:val="16"/>
                <w:szCs w:val="16"/>
              </w:rPr>
              <w:t xml:space="preserve"> </w:t>
            </w:r>
            <w:r>
              <w:rPr>
                <w:rFonts w:ascii="Titillium" w:eastAsia="Times New Roman" w:hAnsi="Titillium" w:cs="Times New Roman"/>
                <w:sz w:val="16"/>
                <w:szCs w:val="16"/>
              </w:rPr>
              <w:t>ze szlabanami.</w:t>
            </w:r>
          </w:p>
          <w:p w14:paraId="5C7E11D8" w14:textId="7B60E653" w:rsidR="003030F1" w:rsidRPr="004D78CA" w:rsidRDefault="003030F1" w:rsidP="00E50A98">
            <w:pPr>
              <w:jc w:val="both"/>
              <w:rPr>
                <w:rFonts w:ascii="Titillium" w:hAnsi="Titillium"/>
                <w:sz w:val="12"/>
                <w:szCs w:val="12"/>
              </w:rPr>
            </w:pPr>
          </w:p>
        </w:tc>
      </w:tr>
      <w:tr w:rsidR="003030F1" w:rsidRPr="00580FE5" w14:paraId="5634A178" w14:textId="77777777" w:rsidTr="00D23736">
        <w:trPr>
          <w:trHeight w:val="383"/>
        </w:trPr>
        <w:tc>
          <w:tcPr>
            <w:tcW w:w="2863"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132764D0" w14:textId="77777777" w:rsidR="003030F1" w:rsidRPr="00A62D9D" w:rsidRDefault="003030F1" w:rsidP="003030F1">
            <w:pPr>
              <w:spacing w:after="144" w:line="239" w:lineRule="auto"/>
              <w:ind w:right="15"/>
              <w:rPr>
                <w:rFonts w:ascii="Titillium" w:hAnsi="Titillium"/>
                <w:sz w:val="16"/>
                <w:szCs w:val="16"/>
              </w:rPr>
            </w:pPr>
            <w:r w:rsidRPr="00A62D9D">
              <w:rPr>
                <w:rFonts w:ascii="Titillium" w:eastAsia="Times New Roman" w:hAnsi="Titillium" w:cs="Times New Roman"/>
                <w:sz w:val="16"/>
                <w:szCs w:val="16"/>
              </w:rPr>
              <w:t xml:space="preserve">Akty planowania przestrzennego i inne akty prawne na terenie objętym przedsięwzięciem deweloperskim lub zadaniem inwestycyjnym </w:t>
            </w:r>
          </w:p>
          <w:p w14:paraId="69532F97" w14:textId="77777777" w:rsidR="003030F1" w:rsidRPr="00A62D9D" w:rsidRDefault="003030F1" w:rsidP="003030F1">
            <w:pPr>
              <w:rPr>
                <w:rFonts w:ascii="Titillium" w:hAnsi="Titillium"/>
                <w:sz w:val="16"/>
                <w:szCs w:val="16"/>
              </w:rPr>
            </w:pPr>
            <w:r w:rsidRPr="00A62D9D">
              <w:rPr>
                <w:rFonts w:ascii="Titillium" w:eastAsia="Times New Roman" w:hAnsi="Titillium" w:cs="Times New Roman"/>
                <w:sz w:val="16"/>
                <w:szCs w:val="1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7559E41" w14:textId="74EAA9EE" w:rsidR="003030F1" w:rsidRPr="00A62D9D" w:rsidRDefault="003030F1" w:rsidP="003030F1">
            <w:pPr>
              <w:ind w:left="2" w:right="48"/>
              <w:jc w:val="both"/>
              <w:rPr>
                <w:rFonts w:ascii="Titillium" w:hAnsi="Titillium"/>
                <w:sz w:val="16"/>
                <w:szCs w:val="16"/>
              </w:rPr>
            </w:pPr>
            <w:r>
              <w:rPr>
                <w:rFonts w:ascii="Titillium" w:eastAsia="Times New Roman" w:hAnsi="Titillium" w:cs="Times New Roman"/>
                <w:sz w:val="16"/>
                <w:szCs w:val="16"/>
              </w:rPr>
              <w:t>Plan ogólny</w:t>
            </w:r>
            <w:r w:rsidRPr="00A62D9D">
              <w:rPr>
                <w:rFonts w:ascii="Titillium" w:eastAsia="Times New Roman" w:hAnsi="Titillium" w:cs="Times New Roman"/>
                <w:sz w:val="16"/>
                <w:szCs w:val="16"/>
              </w:rPr>
              <w:t xml:space="preserve"> gminy </w:t>
            </w:r>
          </w:p>
        </w:tc>
        <w:tc>
          <w:tcPr>
            <w:tcW w:w="4961" w:type="dxa"/>
            <w:tcBorders>
              <w:top w:val="single" w:sz="4" w:space="0" w:color="000000"/>
              <w:left w:val="single" w:sz="4" w:space="0" w:color="000000"/>
              <w:bottom w:val="single" w:sz="4" w:space="0" w:color="000000"/>
              <w:right w:val="single" w:sz="4" w:space="0" w:color="000000"/>
            </w:tcBorders>
          </w:tcPr>
          <w:p w14:paraId="6AA4FAC1" w14:textId="70FA801D" w:rsidR="003030F1" w:rsidRPr="00D63FC3" w:rsidRDefault="003030F1" w:rsidP="003030F1">
            <w:pPr>
              <w:ind w:right="49"/>
              <w:jc w:val="both"/>
              <w:rPr>
                <w:rFonts w:ascii="Titillium" w:hAnsi="Titillium"/>
                <w:sz w:val="14"/>
                <w:szCs w:val="14"/>
              </w:rPr>
            </w:pPr>
            <w:r w:rsidRPr="0043583A">
              <w:rPr>
                <w:rFonts w:ascii="Titillium" w:hAnsi="Titillium"/>
                <w:sz w:val="16"/>
                <w:szCs w:val="16"/>
              </w:rPr>
              <w:t>brak planu ogólnego gminy</w:t>
            </w:r>
          </w:p>
        </w:tc>
      </w:tr>
      <w:tr w:rsidR="003030F1" w:rsidRPr="00580FE5" w14:paraId="4CB260C3" w14:textId="77777777" w:rsidTr="00A0199E">
        <w:trPr>
          <w:trHeight w:val="758"/>
        </w:trPr>
        <w:tc>
          <w:tcPr>
            <w:tcW w:w="2863" w:type="dxa"/>
            <w:vMerge/>
            <w:tcBorders>
              <w:top w:val="nil"/>
              <w:left w:val="single" w:sz="4" w:space="0" w:color="000000"/>
              <w:bottom w:val="nil"/>
              <w:right w:val="single" w:sz="4" w:space="0" w:color="000000"/>
            </w:tcBorders>
          </w:tcPr>
          <w:p w14:paraId="3C234CE3" w14:textId="77777777" w:rsidR="003030F1" w:rsidRPr="00A62D9D" w:rsidRDefault="003030F1" w:rsidP="003030F1">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1498791" w14:textId="77777777" w:rsidR="003030F1" w:rsidRPr="00A62D9D" w:rsidRDefault="003030F1" w:rsidP="003030F1">
            <w:pPr>
              <w:ind w:left="2"/>
              <w:rPr>
                <w:rFonts w:ascii="Titillium" w:hAnsi="Titillium"/>
                <w:sz w:val="16"/>
                <w:szCs w:val="16"/>
              </w:rPr>
            </w:pPr>
            <w:r w:rsidRPr="00A62D9D">
              <w:rPr>
                <w:rFonts w:ascii="Titillium" w:eastAsia="Times New Roman" w:hAnsi="Titillium" w:cs="Times New Roman"/>
                <w:sz w:val="16"/>
                <w:szCs w:val="16"/>
              </w:rPr>
              <w:t xml:space="preserve">Miejscowy plan zagospodarowania przestrzennego </w:t>
            </w:r>
          </w:p>
        </w:tc>
        <w:tc>
          <w:tcPr>
            <w:tcW w:w="4961" w:type="dxa"/>
            <w:tcBorders>
              <w:top w:val="single" w:sz="4" w:space="0" w:color="000000"/>
              <w:left w:val="single" w:sz="4" w:space="0" w:color="000000"/>
              <w:bottom w:val="single" w:sz="4" w:space="0" w:color="000000"/>
              <w:right w:val="single" w:sz="4" w:space="0" w:color="000000"/>
            </w:tcBorders>
          </w:tcPr>
          <w:p w14:paraId="70FB5952" w14:textId="77777777" w:rsidR="003030F1" w:rsidRPr="00902419" w:rsidRDefault="003030F1" w:rsidP="003030F1">
            <w:pPr>
              <w:jc w:val="both"/>
              <w:rPr>
                <w:rFonts w:ascii="Titillium" w:hAnsi="Titillium"/>
                <w:sz w:val="16"/>
                <w:szCs w:val="16"/>
              </w:rPr>
            </w:pPr>
            <w:r w:rsidRPr="00902419">
              <w:rPr>
                <w:rFonts w:ascii="Titillium" w:hAnsi="Titillium"/>
                <w:sz w:val="16"/>
                <w:szCs w:val="16"/>
              </w:rPr>
              <w:t xml:space="preserve">UCHWAŁA NR XLII/643/17 RADY MIASTA BIAŁYSTOK z dnia 30 października 2017r. w sprawie miejscowego planu zagospodarowania  przestrzennego części osiedla Centrum w Białymstoku (rejon Al. J. Piłsudskiego i ul. Czystej) </w:t>
            </w:r>
          </w:p>
          <w:p w14:paraId="6CE29D1D" w14:textId="759E8D01" w:rsidR="003030F1" w:rsidRPr="00D63FC3" w:rsidRDefault="003030F1" w:rsidP="003030F1">
            <w:pPr>
              <w:jc w:val="both"/>
              <w:rPr>
                <w:rFonts w:ascii="Titillium" w:hAnsi="Titillium"/>
                <w:sz w:val="16"/>
                <w:szCs w:val="16"/>
              </w:rPr>
            </w:pPr>
            <w:r w:rsidRPr="00902419">
              <w:rPr>
                <w:rFonts w:ascii="Titillium" w:hAnsi="Titillium"/>
                <w:sz w:val="16"/>
                <w:szCs w:val="16"/>
              </w:rPr>
              <w:t>https://gisbialystok.pl/teksty/bi_148.pdf</w:t>
            </w:r>
          </w:p>
        </w:tc>
      </w:tr>
      <w:tr w:rsidR="003030F1" w:rsidRPr="00580FE5" w14:paraId="780D04DB" w14:textId="77777777" w:rsidTr="00A0199E">
        <w:trPr>
          <w:trHeight w:val="528"/>
        </w:trPr>
        <w:tc>
          <w:tcPr>
            <w:tcW w:w="2863" w:type="dxa"/>
            <w:vMerge/>
            <w:tcBorders>
              <w:top w:val="nil"/>
              <w:left w:val="single" w:sz="4" w:space="0" w:color="000000"/>
              <w:bottom w:val="nil"/>
              <w:right w:val="single" w:sz="4" w:space="0" w:color="000000"/>
            </w:tcBorders>
          </w:tcPr>
          <w:p w14:paraId="065A59B7" w14:textId="77777777" w:rsidR="003030F1" w:rsidRPr="00580FE5" w:rsidRDefault="003030F1" w:rsidP="003030F1">
            <w:pPr>
              <w:rPr>
                <w:rFonts w:ascii="Titillium" w:hAnsi="Titillium"/>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33087EA" w14:textId="77777777" w:rsidR="003030F1" w:rsidRPr="00A62D9D" w:rsidRDefault="003030F1" w:rsidP="003030F1">
            <w:pPr>
              <w:ind w:left="2"/>
              <w:rPr>
                <w:rFonts w:ascii="Titillium" w:hAnsi="Titillium"/>
                <w:sz w:val="16"/>
                <w:szCs w:val="16"/>
              </w:rPr>
            </w:pPr>
            <w:r w:rsidRPr="00A62D9D">
              <w:rPr>
                <w:rFonts w:ascii="Titillium" w:eastAsia="Times New Roman" w:hAnsi="Titillium" w:cs="Times New Roman"/>
                <w:sz w:val="16"/>
                <w:szCs w:val="16"/>
              </w:rPr>
              <w:t xml:space="preserve">Miejscowy plan odbudowy  </w:t>
            </w:r>
          </w:p>
        </w:tc>
        <w:tc>
          <w:tcPr>
            <w:tcW w:w="4961" w:type="dxa"/>
            <w:tcBorders>
              <w:top w:val="single" w:sz="4" w:space="0" w:color="000000"/>
              <w:left w:val="single" w:sz="4" w:space="0" w:color="000000"/>
              <w:bottom w:val="single" w:sz="4" w:space="0" w:color="000000"/>
              <w:right w:val="single" w:sz="4" w:space="0" w:color="000000"/>
            </w:tcBorders>
          </w:tcPr>
          <w:p w14:paraId="07DB02F4" w14:textId="3B0384C3" w:rsidR="003030F1" w:rsidRPr="00D63FC3" w:rsidRDefault="003030F1" w:rsidP="003030F1">
            <w:pPr>
              <w:rPr>
                <w:rFonts w:ascii="Titillium" w:hAnsi="Titillium"/>
                <w:sz w:val="16"/>
                <w:szCs w:val="16"/>
              </w:rPr>
            </w:pPr>
            <w:r w:rsidRPr="00D63FC3">
              <w:rPr>
                <w:rFonts w:ascii="Titillium" w:hAnsi="Titillium"/>
                <w:sz w:val="16"/>
                <w:szCs w:val="16"/>
              </w:rPr>
              <w:t>nie dotyczy</w:t>
            </w:r>
          </w:p>
        </w:tc>
      </w:tr>
      <w:tr w:rsidR="003030F1" w:rsidRPr="00580FE5" w14:paraId="54798E66" w14:textId="77777777" w:rsidTr="00A0199E">
        <w:trPr>
          <w:trHeight w:val="138"/>
        </w:trPr>
        <w:tc>
          <w:tcPr>
            <w:tcW w:w="2863" w:type="dxa"/>
            <w:vMerge/>
            <w:tcBorders>
              <w:top w:val="nil"/>
              <w:left w:val="single" w:sz="4" w:space="0" w:color="000000"/>
              <w:bottom w:val="single" w:sz="4" w:space="0" w:color="000000"/>
              <w:right w:val="single" w:sz="4" w:space="0" w:color="000000"/>
            </w:tcBorders>
          </w:tcPr>
          <w:p w14:paraId="26804AEF" w14:textId="77777777" w:rsidR="003030F1" w:rsidRPr="00580FE5" w:rsidRDefault="003030F1" w:rsidP="003030F1">
            <w:pPr>
              <w:rPr>
                <w:rFonts w:ascii="Titillium" w:hAnsi="Titillium"/>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2C77297" w14:textId="49A8F6A6" w:rsidR="003030F1" w:rsidRPr="009D7FC0" w:rsidRDefault="003030F1" w:rsidP="003030F1">
            <w:pPr>
              <w:ind w:left="2"/>
              <w:rPr>
                <w:rFonts w:ascii="Titillium" w:hAnsi="Titillium"/>
                <w:sz w:val="12"/>
                <w:szCs w:val="12"/>
              </w:rPr>
            </w:pPr>
            <w:r w:rsidRPr="00A62D9D">
              <w:rPr>
                <w:rFonts w:ascii="Titillium" w:eastAsia="Times New Roman" w:hAnsi="Titillium" w:cs="Times New Roman"/>
                <w:sz w:val="16"/>
                <w:szCs w:val="16"/>
              </w:rPr>
              <w:t>Inne</w:t>
            </w:r>
            <w:r>
              <w:rPr>
                <w:rFonts w:ascii="Titillium" w:eastAsia="Times New Roman" w:hAnsi="Titillium" w:cs="Times New Roman"/>
                <w:sz w:val="12"/>
                <w:szCs w:val="12"/>
              </w:rPr>
              <w:t>4)</w:t>
            </w:r>
          </w:p>
        </w:tc>
        <w:tc>
          <w:tcPr>
            <w:tcW w:w="4961" w:type="dxa"/>
            <w:tcBorders>
              <w:top w:val="single" w:sz="4" w:space="0" w:color="000000"/>
              <w:left w:val="single" w:sz="4" w:space="0" w:color="000000"/>
              <w:bottom w:val="single" w:sz="4" w:space="0" w:color="000000"/>
              <w:right w:val="single" w:sz="4" w:space="0" w:color="000000"/>
            </w:tcBorders>
          </w:tcPr>
          <w:p w14:paraId="5883D46F" w14:textId="101A2F8E" w:rsidR="003030F1" w:rsidRPr="00D63FC3" w:rsidRDefault="003030F1" w:rsidP="003030F1">
            <w:pPr>
              <w:rPr>
                <w:rFonts w:ascii="Titillium" w:hAnsi="Titillium"/>
                <w:sz w:val="16"/>
                <w:szCs w:val="16"/>
              </w:rPr>
            </w:pPr>
            <w:r w:rsidRPr="00D63FC3">
              <w:rPr>
                <w:rFonts w:ascii="Titillium" w:hAnsi="Titillium"/>
                <w:sz w:val="16"/>
                <w:szCs w:val="16"/>
              </w:rPr>
              <w:t>nie dotyczy</w:t>
            </w:r>
          </w:p>
        </w:tc>
      </w:tr>
      <w:tr w:rsidR="003030F1" w14:paraId="26D3C1D4" w14:textId="77777777" w:rsidTr="00A0199E">
        <w:tblPrEx>
          <w:tblCellMar>
            <w:top w:w="0" w:type="dxa"/>
            <w:left w:w="0" w:type="dxa"/>
            <w:right w:w="0" w:type="dxa"/>
          </w:tblCellMar>
        </w:tblPrEx>
        <w:tc>
          <w:tcPr>
            <w:tcW w:w="9809" w:type="dxa"/>
            <w:gridSpan w:val="3"/>
          </w:tcPr>
          <w:p w14:paraId="340AC17C" w14:textId="77777777" w:rsidR="003030F1" w:rsidRPr="009D7FC0" w:rsidRDefault="003030F1" w:rsidP="003030F1">
            <w:pPr>
              <w:rPr>
                <w:rFonts w:ascii="Arial" w:hAnsi="Arial" w:cs="Arial"/>
                <w:sz w:val="8"/>
                <w:szCs w:val="8"/>
              </w:rPr>
            </w:pPr>
          </w:p>
          <w:p w14:paraId="1BAD92B5" w14:textId="77777777" w:rsidR="003030F1" w:rsidRDefault="003030F1" w:rsidP="003030F1">
            <w:pPr>
              <w:pStyle w:val="footnotedescription"/>
              <w:numPr>
                <w:ilvl w:val="0"/>
                <w:numId w:val="11"/>
              </w:numPr>
              <w:tabs>
                <w:tab w:val="center" w:pos="2876"/>
              </w:tabs>
              <w:jc w:val="left"/>
              <w:rPr>
                <w:rFonts w:ascii="Titillium" w:hAnsi="Titillium"/>
                <w:sz w:val="8"/>
                <w:szCs w:val="8"/>
              </w:rPr>
            </w:pPr>
            <w:bookmarkStart w:id="0" w:name="_Hlk148945877"/>
            <w:r w:rsidRPr="009D7FC0">
              <w:rPr>
                <w:rFonts w:ascii="Titillium" w:hAnsi="Titillium"/>
                <w:sz w:val="8"/>
                <w:szCs w:val="8"/>
              </w:rPr>
              <w:t xml:space="preserve">Jeżeli działka nie posiada adresu, należy opisowo określić jej położenie. </w:t>
            </w:r>
          </w:p>
          <w:bookmarkEnd w:id="0"/>
          <w:p w14:paraId="6CE1E95E" w14:textId="77777777" w:rsidR="003030F1" w:rsidRPr="009D7FC0" w:rsidRDefault="003030F1" w:rsidP="003030F1">
            <w:pPr>
              <w:pStyle w:val="footnotedescription"/>
              <w:numPr>
                <w:ilvl w:val="0"/>
                <w:numId w:val="11"/>
              </w:numPr>
              <w:tabs>
                <w:tab w:val="right" w:pos="9866"/>
              </w:tabs>
              <w:jc w:val="left"/>
              <w:rPr>
                <w:rFonts w:ascii="Titillium" w:hAnsi="Titillium"/>
                <w:sz w:val="8"/>
                <w:szCs w:val="8"/>
              </w:rPr>
            </w:pPr>
            <w:r w:rsidRPr="009D7FC0">
              <w:rPr>
                <w:rFonts w:ascii="Titillium" w:hAnsi="Titillium"/>
                <w:sz w:val="8"/>
                <w:szCs w:val="8"/>
              </w:rPr>
              <w:t xml:space="preserve">W szczególności imię i nazwisko albo firma właściciela lub użytkownika wieczystego oraz istniejące obciążenia na nieruchomości. </w:t>
            </w:r>
          </w:p>
          <w:p w14:paraId="31C29D28" w14:textId="77777777" w:rsidR="003030F1" w:rsidRPr="00DB5E12" w:rsidRDefault="003030F1" w:rsidP="003030F1">
            <w:pPr>
              <w:pStyle w:val="Akapitzlist"/>
              <w:numPr>
                <w:ilvl w:val="0"/>
                <w:numId w:val="11"/>
              </w:numPr>
              <w:rPr>
                <w:rFonts w:ascii="Titillium" w:hAnsi="Titillium"/>
                <w:sz w:val="8"/>
                <w:szCs w:val="8"/>
              </w:rPr>
            </w:pPr>
            <w:r w:rsidRPr="00DB5E12">
              <w:rPr>
                <w:rFonts w:ascii="Titillium" w:hAnsi="Titillium"/>
                <w:sz w:val="8"/>
                <w:szCs w:val="8"/>
              </w:rPr>
              <w:t xml:space="preserve">W szczególności obiekty generujące uciążliwości zapachowe, hałasowe, świetlne. </w:t>
            </w:r>
          </w:p>
          <w:p w14:paraId="1213D17D" w14:textId="54E11419" w:rsidR="003030F1" w:rsidRPr="00DB5E12" w:rsidRDefault="003030F1" w:rsidP="003030F1">
            <w:pPr>
              <w:pStyle w:val="Akapitzlist"/>
              <w:numPr>
                <w:ilvl w:val="0"/>
                <w:numId w:val="11"/>
              </w:numPr>
              <w:rPr>
                <w:rFonts w:ascii="Titillium" w:hAnsi="Titillium"/>
                <w:sz w:val="8"/>
                <w:szCs w:val="8"/>
              </w:rPr>
            </w:pPr>
            <w:r w:rsidRPr="00DB5E12">
              <w:rPr>
                <w:rFonts w:ascii="Titillium" w:hAnsi="Titillium"/>
                <w:sz w:val="8"/>
                <w:szCs w:val="8"/>
              </w:rPr>
              <w:t xml:space="preserve">Akty prawne (rozporządzenia, zarządzenia, uchwały) w sprawach: </w:t>
            </w:r>
          </w:p>
          <w:p w14:paraId="1D58669A" w14:textId="1ECBBBD7" w:rsidR="003030F1" w:rsidRPr="00DB5E12" w:rsidRDefault="003030F1" w:rsidP="003030F1">
            <w:pPr>
              <w:pStyle w:val="Akapitzlist"/>
              <w:numPr>
                <w:ilvl w:val="0"/>
                <w:numId w:val="12"/>
              </w:numPr>
              <w:rPr>
                <w:rFonts w:ascii="Titillium" w:hAnsi="Titillium"/>
                <w:sz w:val="8"/>
                <w:szCs w:val="8"/>
              </w:rPr>
            </w:pPr>
            <w:r w:rsidRPr="00DB5E12">
              <w:rPr>
                <w:rFonts w:ascii="Titillium" w:hAnsi="Titillium"/>
                <w:sz w:val="8"/>
                <w:szCs w:val="8"/>
              </w:rPr>
              <w:t>Dotyczących Inwestycji, Inwestycji Towarzyszących oraz obszaru otoczenia CPK</w:t>
            </w:r>
          </w:p>
          <w:p w14:paraId="6364F2A4" w14:textId="77777777" w:rsidR="003030F1" w:rsidRPr="00DB5E12" w:rsidRDefault="003030F1" w:rsidP="003030F1">
            <w:pPr>
              <w:pStyle w:val="Akapitzlist"/>
              <w:numPr>
                <w:ilvl w:val="0"/>
                <w:numId w:val="12"/>
              </w:numPr>
              <w:rPr>
                <w:rFonts w:ascii="Titillium" w:hAnsi="Titillium"/>
                <w:sz w:val="8"/>
                <w:szCs w:val="8"/>
              </w:rPr>
            </w:pPr>
            <w:r w:rsidRPr="00DB5E12">
              <w:rPr>
                <w:rFonts w:ascii="Titillium" w:hAnsi="Titillium"/>
                <w:sz w:val="8"/>
                <w:szCs w:val="8"/>
              </w:rPr>
              <w:t xml:space="preserve">lokalizacji inwestycji mieszkaniowej lub inwestycji towarzyszącej, </w:t>
            </w:r>
          </w:p>
          <w:p w14:paraId="32BD6F78" w14:textId="77777777" w:rsidR="003030F1" w:rsidRPr="00DB5E12" w:rsidRDefault="003030F1" w:rsidP="003030F1">
            <w:pPr>
              <w:pStyle w:val="Akapitzlist"/>
              <w:numPr>
                <w:ilvl w:val="0"/>
                <w:numId w:val="12"/>
              </w:numPr>
              <w:rPr>
                <w:rFonts w:ascii="Titillium" w:hAnsi="Titillium"/>
                <w:sz w:val="8"/>
                <w:szCs w:val="8"/>
              </w:rPr>
            </w:pPr>
            <w:r w:rsidRPr="00DB5E12">
              <w:rPr>
                <w:rFonts w:ascii="Titillium" w:hAnsi="Titillium"/>
                <w:sz w:val="8"/>
                <w:szCs w:val="8"/>
              </w:rPr>
              <w:t xml:space="preserve">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 </w:t>
            </w:r>
          </w:p>
          <w:p w14:paraId="286A2C08" w14:textId="77777777" w:rsidR="003030F1" w:rsidRPr="00DB5E12" w:rsidRDefault="003030F1" w:rsidP="003030F1">
            <w:pPr>
              <w:pStyle w:val="Akapitzlist"/>
              <w:numPr>
                <w:ilvl w:val="0"/>
                <w:numId w:val="12"/>
              </w:numPr>
              <w:rPr>
                <w:rFonts w:ascii="Titillium" w:hAnsi="Titillium"/>
                <w:sz w:val="8"/>
                <w:szCs w:val="8"/>
              </w:rPr>
            </w:pPr>
            <w:r w:rsidRPr="00DB5E12">
              <w:rPr>
                <w:rFonts w:ascii="Titillium" w:hAnsi="Titillium"/>
                <w:sz w:val="8"/>
                <w:szCs w:val="8"/>
              </w:rPr>
              <w:t xml:space="preserve">ustanowienia strefy ochronnej terenu ochrony bezpośredniej i terenu ochrony pośredniej ujęcia wody, </w:t>
            </w:r>
          </w:p>
          <w:p w14:paraId="0C27F5CB" w14:textId="77777777" w:rsidR="003030F1" w:rsidRPr="00DB5E12" w:rsidRDefault="003030F1" w:rsidP="003030F1">
            <w:pPr>
              <w:pStyle w:val="Akapitzlist"/>
              <w:numPr>
                <w:ilvl w:val="0"/>
                <w:numId w:val="12"/>
              </w:numPr>
              <w:rPr>
                <w:rFonts w:ascii="Titillium" w:hAnsi="Titillium"/>
                <w:sz w:val="8"/>
                <w:szCs w:val="8"/>
              </w:rPr>
            </w:pPr>
            <w:r w:rsidRPr="00DB5E12">
              <w:rPr>
                <w:rFonts w:ascii="Titillium" w:hAnsi="Titillium"/>
                <w:sz w:val="8"/>
                <w:szCs w:val="8"/>
              </w:rPr>
              <w:t xml:space="preserve">wyznaczenia obszarów cichych w aglomeracji lub obszarów cichych poza aglomeracją, </w:t>
            </w:r>
          </w:p>
          <w:p w14:paraId="740D19C6" w14:textId="77777777" w:rsidR="003030F1" w:rsidRPr="00DB5E12" w:rsidRDefault="003030F1" w:rsidP="003030F1">
            <w:pPr>
              <w:pStyle w:val="Akapitzlist"/>
              <w:numPr>
                <w:ilvl w:val="0"/>
                <w:numId w:val="12"/>
              </w:numPr>
              <w:rPr>
                <w:rFonts w:ascii="Titillium" w:hAnsi="Titillium"/>
                <w:sz w:val="8"/>
                <w:szCs w:val="8"/>
              </w:rPr>
            </w:pPr>
            <w:r w:rsidRPr="00DB5E12">
              <w:rPr>
                <w:rFonts w:ascii="Titillium" w:hAnsi="Titillium"/>
                <w:sz w:val="8"/>
                <w:szCs w:val="8"/>
              </w:rPr>
              <w:t xml:space="preserve">utworzenia obszaru ograniczonego użytkowania, </w:t>
            </w:r>
          </w:p>
          <w:p w14:paraId="35A2C780" w14:textId="77777777" w:rsidR="003030F1" w:rsidRPr="00DB5E12" w:rsidRDefault="003030F1" w:rsidP="003030F1">
            <w:pPr>
              <w:pStyle w:val="Akapitzlist"/>
              <w:numPr>
                <w:ilvl w:val="0"/>
                <w:numId w:val="12"/>
              </w:numPr>
              <w:rPr>
                <w:rFonts w:ascii="Titillium" w:hAnsi="Titillium"/>
                <w:sz w:val="8"/>
                <w:szCs w:val="8"/>
              </w:rPr>
            </w:pPr>
            <w:r w:rsidRPr="00DB5E12">
              <w:rPr>
                <w:rFonts w:ascii="Titillium" w:hAnsi="Titillium"/>
                <w:sz w:val="8"/>
                <w:szCs w:val="8"/>
              </w:rPr>
              <w:t xml:space="preserve">uznania zabytku za pomnik historii, </w:t>
            </w:r>
          </w:p>
          <w:p w14:paraId="40CC5C08" w14:textId="77777777" w:rsidR="003030F1" w:rsidRPr="00DB5E12" w:rsidRDefault="003030F1" w:rsidP="003030F1">
            <w:pPr>
              <w:pStyle w:val="Akapitzlist"/>
              <w:numPr>
                <w:ilvl w:val="0"/>
                <w:numId w:val="12"/>
              </w:numPr>
              <w:rPr>
                <w:rFonts w:ascii="Titillium" w:hAnsi="Titillium"/>
                <w:sz w:val="8"/>
                <w:szCs w:val="8"/>
              </w:rPr>
            </w:pPr>
            <w:r w:rsidRPr="00DB5E12">
              <w:rPr>
                <w:rFonts w:ascii="Titillium" w:hAnsi="Titillium"/>
                <w:sz w:val="8"/>
                <w:szCs w:val="8"/>
              </w:rPr>
              <w:t xml:space="preserve">określenia granic obszaru Pomnika Zagłady i jego strefy ochronnej, utworzenia parku kulturowego, </w:t>
            </w:r>
          </w:p>
          <w:p w14:paraId="7AF37346" w14:textId="77777777" w:rsidR="003030F1" w:rsidRPr="00DB5E12" w:rsidRDefault="003030F1" w:rsidP="003030F1">
            <w:pPr>
              <w:pStyle w:val="Akapitzlist"/>
              <w:numPr>
                <w:ilvl w:val="0"/>
                <w:numId w:val="12"/>
              </w:numPr>
              <w:rPr>
                <w:rFonts w:ascii="Titillium" w:hAnsi="Titillium"/>
                <w:sz w:val="8"/>
                <w:szCs w:val="8"/>
              </w:rPr>
            </w:pPr>
            <w:r w:rsidRPr="00DB5E12">
              <w:rPr>
                <w:rFonts w:ascii="Titillium" w:hAnsi="Titillium"/>
                <w:sz w:val="8"/>
                <w:szCs w:val="8"/>
              </w:rPr>
              <w:t>ustalenia zasad i warunków sytuowania obiektów małej architektury, tablic reklamowych i urządzeń reklamowych oraz ogrodzeń, ich gabarytów, standardów jakościowych oraz rodzajów materiałów budowlanych.</w:t>
            </w:r>
          </w:p>
          <w:p w14:paraId="288A0F86" w14:textId="77777777" w:rsidR="003030F1" w:rsidRPr="00DB5E12" w:rsidRDefault="003030F1" w:rsidP="003030F1">
            <w:pPr>
              <w:pStyle w:val="Akapitzlist"/>
              <w:ind w:left="1080"/>
              <w:rPr>
                <w:rFonts w:ascii="Titillium" w:hAnsi="Titillium"/>
                <w:sz w:val="8"/>
                <w:szCs w:val="8"/>
              </w:rPr>
            </w:pPr>
          </w:p>
          <w:p w14:paraId="0FB47F6F" w14:textId="4532F951" w:rsidR="003030F1" w:rsidRPr="00DB5E12" w:rsidRDefault="003030F1" w:rsidP="003030F1">
            <w:pPr>
              <w:ind w:firstLine="311"/>
              <w:rPr>
                <w:sz w:val="8"/>
                <w:szCs w:val="8"/>
              </w:rPr>
            </w:pPr>
            <w:r w:rsidRPr="00DB5E12">
              <w:rPr>
                <w:rFonts w:ascii="Titillium" w:eastAsia="Times New Roman" w:hAnsi="Titillium" w:cs="Times New Roman"/>
                <w:bCs/>
                <w:sz w:val="8"/>
                <w:szCs w:val="8"/>
              </w:rPr>
              <w:t>43. Część III w brzmieniu ustalonym w załączniku do ustawy z dnia 7 lipca 2023 r. o zmianie ustawy o planowaniu i zagospodarowaniu przestrzennym oraz niektórych innych ustaw (Dz. U. poz. 1688), na podstawie art. 49 tej ustawy, która weszła w życie z dniem 24 września 2023 r.</w:t>
            </w:r>
          </w:p>
          <w:p w14:paraId="1AE38E38" w14:textId="161A7B51" w:rsidR="003030F1" w:rsidRPr="009D7FC0" w:rsidRDefault="003030F1" w:rsidP="003030F1">
            <w:pPr>
              <w:rPr>
                <w:rFonts w:ascii="Arial" w:hAnsi="Arial" w:cs="Arial"/>
                <w:sz w:val="8"/>
                <w:szCs w:val="8"/>
              </w:rPr>
            </w:pPr>
          </w:p>
        </w:tc>
      </w:tr>
      <w:tr w:rsidR="003030F1" w14:paraId="741241CC" w14:textId="77777777" w:rsidTr="00A0199E">
        <w:tblPrEx>
          <w:tblCellMar>
            <w:top w:w="0" w:type="dxa"/>
            <w:left w:w="0" w:type="dxa"/>
            <w:right w:w="0" w:type="dxa"/>
          </w:tblCellMar>
        </w:tblPrEx>
        <w:trPr>
          <w:gridAfter w:val="2"/>
          <w:wAfter w:w="6946" w:type="dxa"/>
        </w:trPr>
        <w:tc>
          <w:tcPr>
            <w:tcW w:w="2863" w:type="dxa"/>
          </w:tcPr>
          <w:p w14:paraId="29B3DC2C" w14:textId="77777777" w:rsidR="003030F1" w:rsidRDefault="003030F1" w:rsidP="003030F1">
            <w:pPr>
              <w:rPr>
                <w:rFonts w:ascii="Arial" w:hAnsi="Arial" w:cs="Arial"/>
                <w:sz w:val="16"/>
                <w:szCs w:val="16"/>
              </w:rPr>
            </w:pPr>
          </w:p>
        </w:tc>
      </w:tr>
    </w:tbl>
    <w:p w14:paraId="1BAABEF7" w14:textId="77777777" w:rsidR="00D63FC3" w:rsidRPr="00580FE5" w:rsidRDefault="00D63FC3" w:rsidP="00D63FC3">
      <w:pPr>
        <w:tabs>
          <w:tab w:val="left" w:pos="8949"/>
        </w:tabs>
        <w:spacing w:after="0"/>
        <w:ind w:right="108"/>
        <w:rPr>
          <w:rFonts w:ascii="Titillium" w:hAnsi="Titillium"/>
        </w:rPr>
      </w:pPr>
    </w:p>
    <w:tbl>
      <w:tblPr>
        <w:tblStyle w:val="TableGrid"/>
        <w:tblW w:w="9648" w:type="dxa"/>
        <w:tblInd w:w="109" w:type="dxa"/>
        <w:tblCellMar>
          <w:top w:w="182" w:type="dxa"/>
          <w:left w:w="107" w:type="dxa"/>
          <w:right w:w="57" w:type="dxa"/>
        </w:tblCellMar>
        <w:tblLook w:val="04A0" w:firstRow="1" w:lastRow="0" w:firstColumn="1" w:lastColumn="0" w:noHBand="0" w:noVBand="1"/>
      </w:tblPr>
      <w:tblGrid>
        <w:gridCol w:w="2808"/>
        <w:gridCol w:w="2040"/>
        <w:gridCol w:w="4800"/>
      </w:tblGrid>
      <w:tr w:rsidR="00D63FC3" w:rsidRPr="00D63FC3" w14:paraId="7E030F9D" w14:textId="77777777" w:rsidTr="00A96F60">
        <w:trPr>
          <w:trHeight w:val="1195"/>
        </w:trPr>
        <w:tc>
          <w:tcPr>
            <w:tcW w:w="2808"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6FEE7807" w14:textId="77777777" w:rsidR="00E134F7" w:rsidRPr="00D63FC3" w:rsidRDefault="00E134F7" w:rsidP="009D7FC0">
            <w:pPr>
              <w:spacing w:after="145" w:line="239" w:lineRule="auto"/>
              <w:rPr>
                <w:rFonts w:ascii="Titillium" w:hAnsi="Titillium"/>
                <w:sz w:val="16"/>
                <w:szCs w:val="16"/>
              </w:rPr>
            </w:pPr>
            <w:r w:rsidRPr="00D63FC3">
              <w:rPr>
                <w:rFonts w:ascii="Titillium" w:eastAsia="Times New Roman" w:hAnsi="Titillium" w:cs="Times New Roman"/>
                <w:sz w:val="16"/>
                <w:szCs w:val="16"/>
              </w:rPr>
              <w:t xml:space="preserve">Ustalenia obowiązującego miejscowego planu zagospodarowania przestrzennego dla terenu objętego przedsięwzięciem deweloperskim lub zadaniem inwestycyjnym  </w:t>
            </w:r>
          </w:p>
          <w:p w14:paraId="2A7F9E01" w14:textId="77777777" w:rsidR="00E134F7" w:rsidRPr="00D63FC3" w:rsidRDefault="00E134F7" w:rsidP="009D7FC0">
            <w:pPr>
              <w:rPr>
                <w:rFonts w:ascii="Titillium" w:hAnsi="Titillium"/>
                <w:sz w:val="16"/>
                <w:szCs w:val="16"/>
              </w:rPr>
            </w:pPr>
            <w:r w:rsidRPr="00D63FC3">
              <w:rPr>
                <w:rFonts w:ascii="Titillium" w:eastAsia="Times New Roman" w:hAnsi="Titillium" w:cs="Times New Roman"/>
                <w:sz w:val="16"/>
                <w:szCs w:val="16"/>
              </w:rPr>
              <w:t xml:space="preserve"> </w:t>
            </w:r>
          </w:p>
        </w:tc>
        <w:tc>
          <w:tcPr>
            <w:tcW w:w="2040" w:type="dxa"/>
            <w:tcBorders>
              <w:top w:val="single" w:sz="4" w:space="0" w:color="000000"/>
              <w:left w:val="single" w:sz="4" w:space="0" w:color="000000"/>
              <w:bottom w:val="single" w:sz="4" w:space="0" w:color="000000"/>
              <w:right w:val="single" w:sz="4" w:space="0" w:color="000000"/>
            </w:tcBorders>
            <w:vAlign w:val="center"/>
          </w:tcPr>
          <w:p w14:paraId="7CDD50C5" w14:textId="77777777" w:rsidR="00E134F7" w:rsidRPr="00D63FC3" w:rsidRDefault="00E134F7" w:rsidP="009D7FC0">
            <w:pPr>
              <w:ind w:left="2"/>
              <w:rPr>
                <w:rFonts w:ascii="Titillium" w:hAnsi="Titillium"/>
                <w:sz w:val="16"/>
                <w:szCs w:val="16"/>
              </w:rPr>
            </w:pPr>
            <w:r w:rsidRPr="00D63FC3">
              <w:rPr>
                <w:rFonts w:ascii="Titillium" w:eastAsia="Times New Roman" w:hAnsi="Titillium" w:cs="Times New Roman"/>
                <w:sz w:val="16"/>
                <w:szCs w:val="16"/>
              </w:rPr>
              <w:t xml:space="preserve">Przeznaczenie terenu </w:t>
            </w:r>
          </w:p>
        </w:tc>
        <w:tc>
          <w:tcPr>
            <w:tcW w:w="4800" w:type="dxa"/>
            <w:tcBorders>
              <w:top w:val="single" w:sz="4" w:space="0" w:color="000000"/>
              <w:left w:val="single" w:sz="4" w:space="0" w:color="000000"/>
              <w:bottom w:val="single" w:sz="4" w:space="0" w:color="000000"/>
              <w:right w:val="single" w:sz="4" w:space="0" w:color="000000"/>
            </w:tcBorders>
            <w:vAlign w:val="center"/>
          </w:tcPr>
          <w:p w14:paraId="1769B980" w14:textId="1D9E4FAF" w:rsidR="005E408A" w:rsidRPr="00902419" w:rsidRDefault="00DB5E12" w:rsidP="005E408A">
            <w:pPr>
              <w:ind w:left="4"/>
              <w:rPr>
                <w:rFonts w:ascii="Titillium" w:hAnsi="Titillium"/>
                <w:sz w:val="16"/>
                <w:szCs w:val="16"/>
              </w:rPr>
            </w:pPr>
            <w:r>
              <w:rPr>
                <w:rFonts w:ascii="Titillium" w:hAnsi="Titillium"/>
                <w:sz w:val="16"/>
                <w:szCs w:val="16"/>
              </w:rPr>
              <w:t xml:space="preserve">Zgodnie z </w:t>
            </w:r>
            <w:r w:rsidR="005E408A" w:rsidRPr="00902419">
              <w:rPr>
                <w:rFonts w:ascii="Titillium" w:hAnsi="Titillium"/>
                <w:sz w:val="16"/>
                <w:szCs w:val="16"/>
              </w:rPr>
              <w:t>UCHWAŁ</w:t>
            </w:r>
            <w:r>
              <w:rPr>
                <w:rFonts w:ascii="Titillium" w:hAnsi="Titillium"/>
                <w:sz w:val="16"/>
                <w:szCs w:val="16"/>
              </w:rPr>
              <w:t>Ą</w:t>
            </w:r>
            <w:r w:rsidR="005E408A" w:rsidRPr="00902419">
              <w:rPr>
                <w:rFonts w:ascii="Titillium" w:hAnsi="Titillium"/>
                <w:sz w:val="16"/>
                <w:szCs w:val="16"/>
              </w:rPr>
              <w:t xml:space="preserve"> NR XLII/643/17 RADY MIASTA BIAŁYSTOK z dnia 30 października 2017r. w sprawie miejscowego planu zagospodarowania  przestrzennego części osiedla Centrum w Białymstoku (rejon Al. J. Piłsudskiego i ul. Czystej) :</w:t>
            </w:r>
          </w:p>
          <w:p w14:paraId="4DFE3399" w14:textId="77777777" w:rsidR="005E408A" w:rsidRPr="00902419" w:rsidRDefault="005E408A" w:rsidP="005E408A">
            <w:pPr>
              <w:ind w:left="4"/>
              <w:rPr>
                <w:rFonts w:ascii="Titillium" w:hAnsi="Titillium"/>
                <w:sz w:val="16"/>
                <w:szCs w:val="16"/>
              </w:rPr>
            </w:pPr>
            <w:r w:rsidRPr="00902419">
              <w:rPr>
                <w:rFonts w:ascii="Titillium" w:hAnsi="Titillium"/>
                <w:sz w:val="16"/>
                <w:szCs w:val="16"/>
              </w:rPr>
              <w:t xml:space="preserve">- teren 6.1MW, U przeznacza się pod zabudowę mieszkaniową wielorodzinną oraz usługową wraz z obiektami i urządzeniami towarzyszącymi oraz zielenią urządzoną, </w:t>
            </w:r>
          </w:p>
          <w:p w14:paraId="3BF340A0" w14:textId="45429523" w:rsidR="00E134F7" w:rsidRPr="00D63FC3" w:rsidRDefault="005E408A" w:rsidP="005E408A">
            <w:pPr>
              <w:ind w:left="4"/>
              <w:rPr>
                <w:rFonts w:ascii="Titillium" w:eastAsia="Times New Roman" w:hAnsi="Titillium" w:cs="Times New Roman"/>
                <w:sz w:val="16"/>
                <w:szCs w:val="16"/>
              </w:rPr>
            </w:pPr>
            <w:r w:rsidRPr="00902419">
              <w:rPr>
                <w:rFonts w:ascii="Titillium" w:hAnsi="Titillium"/>
                <w:sz w:val="16"/>
                <w:szCs w:val="16"/>
              </w:rPr>
              <w:t>- na terenie 6.1MW, U - partery budynków lokalizowanych bezpośrednio w pierzei 2KD-Z ul. Bohaterów Getta, 7KD-D ul. Czystej przeznacza się pod usługi</w:t>
            </w:r>
            <w:r w:rsidR="0041742F">
              <w:rPr>
                <w:rFonts w:ascii="Titillium" w:hAnsi="Titillium"/>
                <w:sz w:val="16"/>
                <w:szCs w:val="16"/>
              </w:rPr>
              <w:t>.</w:t>
            </w:r>
          </w:p>
        </w:tc>
      </w:tr>
      <w:tr w:rsidR="005E408A" w:rsidRPr="00D63FC3" w14:paraId="5FCF30F2" w14:textId="77777777" w:rsidTr="00A96F60">
        <w:trPr>
          <w:trHeight w:val="76"/>
        </w:trPr>
        <w:tc>
          <w:tcPr>
            <w:tcW w:w="0" w:type="auto"/>
            <w:vMerge/>
            <w:tcBorders>
              <w:top w:val="nil"/>
              <w:left w:val="single" w:sz="4" w:space="0" w:color="000000"/>
              <w:bottom w:val="nil"/>
              <w:right w:val="single" w:sz="4" w:space="0" w:color="000000"/>
            </w:tcBorders>
          </w:tcPr>
          <w:p w14:paraId="567B03E7" w14:textId="77777777" w:rsidR="005E408A" w:rsidRPr="00D63FC3" w:rsidRDefault="005E408A" w:rsidP="005E408A">
            <w:pPr>
              <w:rPr>
                <w:rFonts w:ascii="Titillium" w:hAnsi="Titillium"/>
                <w:sz w:val="16"/>
                <w:szCs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8519726" w14:textId="601CAE19" w:rsidR="005E408A" w:rsidRPr="00D63FC3" w:rsidRDefault="005E408A" w:rsidP="005E408A">
            <w:pPr>
              <w:ind w:left="2"/>
              <w:rPr>
                <w:rFonts w:ascii="Titillium" w:hAnsi="Titillium"/>
                <w:sz w:val="16"/>
                <w:szCs w:val="16"/>
                <w:highlight w:val="yellow"/>
              </w:rPr>
            </w:pPr>
            <w:r w:rsidRPr="00D63FC3">
              <w:rPr>
                <w:rFonts w:ascii="Titillium" w:eastAsia="Times New Roman" w:hAnsi="Titillium" w:cs="Times New Roman"/>
                <w:sz w:val="16"/>
                <w:szCs w:val="16"/>
              </w:rPr>
              <w:t xml:space="preserve">Maksymalna intensywność zabudowy </w:t>
            </w:r>
          </w:p>
        </w:tc>
        <w:tc>
          <w:tcPr>
            <w:tcW w:w="4800" w:type="dxa"/>
            <w:tcBorders>
              <w:top w:val="single" w:sz="4" w:space="0" w:color="000000"/>
              <w:left w:val="single" w:sz="4" w:space="0" w:color="000000"/>
              <w:bottom w:val="single" w:sz="4" w:space="0" w:color="000000"/>
              <w:right w:val="single" w:sz="4" w:space="0" w:color="000000"/>
            </w:tcBorders>
          </w:tcPr>
          <w:p w14:paraId="7D206BA9" w14:textId="53C592E6" w:rsidR="005E408A" w:rsidRPr="00902419" w:rsidRDefault="005E408A" w:rsidP="005E408A">
            <w:pPr>
              <w:ind w:left="4"/>
              <w:rPr>
                <w:rFonts w:ascii="Titillium" w:hAnsi="Titillium"/>
                <w:sz w:val="16"/>
                <w:szCs w:val="16"/>
              </w:rPr>
            </w:pPr>
            <w:r w:rsidRPr="00902419">
              <w:rPr>
                <w:rFonts w:ascii="Titillium" w:eastAsia="Times New Roman" w:hAnsi="Titillium" w:cs="Times New Roman"/>
                <w:sz w:val="16"/>
                <w:szCs w:val="16"/>
              </w:rPr>
              <w:t>brak informacji w planie</w:t>
            </w:r>
          </w:p>
        </w:tc>
      </w:tr>
      <w:tr w:rsidR="005E408A" w:rsidRPr="00D63FC3" w14:paraId="47061389" w14:textId="77777777" w:rsidTr="00A96F60">
        <w:trPr>
          <w:trHeight w:val="443"/>
        </w:trPr>
        <w:tc>
          <w:tcPr>
            <w:tcW w:w="0" w:type="auto"/>
            <w:vMerge/>
            <w:tcBorders>
              <w:top w:val="nil"/>
              <w:left w:val="single" w:sz="4" w:space="0" w:color="000000"/>
              <w:bottom w:val="nil"/>
              <w:right w:val="single" w:sz="4" w:space="0" w:color="000000"/>
            </w:tcBorders>
          </w:tcPr>
          <w:p w14:paraId="0BD5C369" w14:textId="77777777" w:rsidR="005E408A" w:rsidRPr="00D63FC3" w:rsidRDefault="005E408A" w:rsidP="005E408A">
            <w:pPr>
              <w:rPr>
                <w:rFonts w:ascii="Titillium" w:hAnsi="Titillium"/>
                <w:sz w:val="16"/>
                <w:szCs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22B65682" w14:textId="37958883" w:rsidR="005E408A" w:rsidRPr="00D63FC3" w:rsidRDefault="005E408A" w:rsidP="005E408A">
            <w:pPr>
              <w:ind w:left="2"/>
              <w:rPr>
                <w:rFonts w:ascii="Titillium" w:eastAsia="Times New Roman" w:hAnsi="Titillium" w:cs="Times New Roman"/>
                <w:sz w:val="16"/>
                <w:szCs w:val="16"/>
              </w:rPr>
            </w:pPr>
            <w:r w:rsidRPr="00D63FC3">
              <w:rPr>
                <w:rFonts w:ascii="Titillium" w:eastAsia="Times New Roman" w:hAnsi="Titillium" w:cs="Times New Roman"/>
                <w:sz w:val="16"/>
                <w:szCs w:val="16"/>
              </w:rPr>
              <w:t xml:space="preserve">Maksymalna i minimalna nadziemna intensywność zabudowy </w:t>
            </w:r>
          </w:p>
        </w:tc>
        <w:tc>
          <w:tcPr>
            <w:tcW w:w="4800" w:type="dxa"/>
            <w:tcBorders>
              <w:top w:val="single" w:sz="4" w:space="0" w:color="000000"/>
              <w:left w:val="single" w:sz="4" w:space="0" w:color="000000"/>
              <w:bottom w:val="single" w:sz="4" w:space="0" w:color="000000"/>
              <w:right w:val="single" w:sz="4" w:space="0" w:color="000000"/>
            </w:tcBorders>
          </w:tcPr>
          <w:p w14:paraId="48217804" w14:textId="15C29AC2" w:rsidR="005E408A" w:rsidRPr="00902419" w:rsidRDefault="005E408A" w:rsidP="005E408A">
            <w:pPr>
              <w:ind w:left="4"/>
              <w:rPr>
                <w:rFonts w:ascii="Titillium" w:eastAsia="Times New Roman" w:hAnsi="Titillium" w:cs="Times New Roman"/>
                <w:sz w:val="16"/>
                <w:szCs w:val="16"/>
                <w:highlight w:val="yellow"/>
              </w:rPr>
            </w:pPr>
            <w:r w:rsidRPr="00902419">
              <w:rPr>
                <w:rFonts w:ascii="Titillium" w:eastAsia="Times New Roman" w:hAnsi="Titillium" w:cs="Times New Roman"/>
                <w:sz w:val="16"/>
                <w:szCs w:val="16"/>
              </w:rPr>
              <w:t>brak informacji w planie</w:t>
            </w:r>
          </w:p>
        </w:tc>
      </w:tr>
      <w:tr w:rsidR="005E408A" w:rsidRPr="00D63FC3" w14:paraId="7101472A" w14:textId="77777777" w:rsidTr="00A96F60">
        <w:trPr>
          <w:trHeight w:val="771"/>
        </w:trPr>
        <w:tc>
          <w:tcPr>
            <w:tcW w:w="0" w:type="auto"/>
            <w:vMerge/>
            <w:tcBorders>
              <w:top w:val="nil"/>
              <w:left w:val="single" w:sz="4" w:space="0" w:color="000000"/>
              <w:bottom w:val="nil"/>
              <w:right w:val="single" w:sz="4" w:space="0" w:color="000000"/>
            </w:tcBorders>
          </w:tcPr>
          <w:p w14:paraId="35FE1531" w14:textId="77777777" w:rsidR="005E408A" w:rsidRPr="00D63FC3" w:rsidRDefault="005E408A" w:rsidP="005E408A">
            <w:pPr>
              <w:rPr>
                <w:rFonts w:ascii="Titillium" w:hAnsi="Titillium"/>
                <w:sz w:val="16"/>
                <w:szCs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6F7FC7FF" w14:textId="67302E14" w:rsidR="005E408A" w:rsidRPr="00D63FC3" w:rsidRDefault="005E408A" w:rsidP="005E408A">
            <w:pPr>
              <w:ind w:left="2"/>
              <w:rPr>
                <w:rFonts w:ascii="Titillium" w:eastAsia="Times New Roman" w:hAnsi="Titillium" w:cs="Times New Roman"/>
                <w:sz w:val="16"/>
                <w:szCs w:val="16"/>
              </w:rPr>
            </w:pPr>
            <w:r w:rsidRPr="00D63FC3">
              <w:rPr>
                <w:rFonts w:ascii="Titillium" w:eastAsia="Times New Roman" w:hAnsi="Titillium" w:cs="Times New Roman"/>
                <w:sz w:val="16"/>
                <w:szCs w:val="16"/>
              </w:rPr>
              <w:t>Maksymalna powierzchnia zabudowy</w:t>
            </w:r>
          </w:p>
        </w:tc>
        <w:tc>
          <w:tcPr>
            <w:tcW w:w="4800" w:type="dxa"/>
            <w:tcBorders>
              <w:top w:val="single" w:sz="4" w:space="0" w:color="000000"/>
              <w:left w:val="single" w:sz="4" w:space="0" w:color="000000"/>
              <w:bottom w:val="single" w:sz="4" w:space="0" w:color="000000"/>
              <w:right w:val="single" w:sz="4" w:space="0" w:color="000000"/>
            </w:tcBorders>
          </w:tcPr>
          <w:p w14:paraId="1428819E" w14:textId="5522C9BD" w:rsidR="005E408A" w:rsidRPr="00902419" w:rsidRDefault="005E408A" w:rsidP="0041742F">
            <w:pPr>
              <w:ind w:left="4"/>
              <w:rPr>
                <w:rFonts w:ascii="Titillium" w:eastAsia="Times New Roman" w:hAnsi="Titillium" w:cs="Times New Roman"/>
                <w:sz w:val="16"/>
                <w:szCs w:val="16"/>
              </w:rPr>
            </w:pPr>
            <w:r w:rsidRPr="00902419">
              <w:rPr>
                <w:rFonts w:ascii="Titillium" w:eastAsia="Times New Roman" w:hAnsi="Titillium" w:cs="Times New Roman"/>
                <w:sz w:val="16"/>
                <w:szCs w:val="16"/>
              </w:rPr>
              <w:t>Maksymalna dopuszczalna powierzchnia zabudowy działki</w:t>
            </w:r>
            <w:r w:rsidR="00033C7D">
              <w:rPr>
                <w:rFonts w:ascii="Titillium" w:eastAsia="Times New Roman" w:hAnsi="Titillium" w:cs="Times New Roman"/>
                <w:sz w:val="16"/>
                <w:szCs w:val="16"/>
              </w:rPr>
              <w:t xml:space="preserve"> </w:t>
            </w:r>
            <w:r w:rsidRPr="00902419">
              <w:rPr>
                <w:rFonts w:ascii="Titillium" w:eastAsia="Times New Roman" w:hAnsi="Titillium" w:cs="Times New Roman"/>
                <w:sz w:val="16"/>
                <w:szCs w:val="16"/>
              </w:rPr>
              <w:t>w</w:t>
            </w:r>
            <w:r w:rsidR="0041742F">
              <w:rPr>
                <w:rFonts w:ascii="Titillium" w:eastAsia="Times New Roman" w:hAnsi="Titillium" w:cs="Times New Roman"/>
                <w:sz w:val="16"/>
                <w:szCs w:val="16"/>
              </w:rPr>
              <w:t xml:space="preserve"> </w:t>
            </w:r>
            <w:r w:rsidRPr="00902419">
              <w:rPr>
                <w:rFonts w:ascii="Titillium" w:eastAsia="Times New Roman" w:hAnsi="Titillium" w:cs="Times New Roman"/>
                <w:sz w:val="16"/>
                <w:szCs w:val="16"/>
              </w:rPr>
              <w:t>przypadku zagospodarowania terenu 6.1MW, U jako jedno zamierzenie budowlane – do 60 % jej powierzchni.</w:t>
            </w:r>
          </w:p>
        </w:tc>
      </w:tr>
      <w:tr w:rsidR="005E408A" w:rsidRPr="00D63FC3" w14:paraId="442B4014" w14:textId="77777777" w:rsidTr="00A96F60">
        <w:trPr>
          <w:trHeight w:val="528"/>
        </w:trPr>
        <w:tc>
          <w:tcPr>
            <w:tcW w:w="0" w:type="auto"/>
            <w:vMerge/>
            <w:tcBorders>
              <w:top w:val="nil"/>
              <w:left w:val="single" w:sz="4" w:space="0" w:color="000000"/>
              <w:bottom w:val="nil"/>
              <w:right w:val="single" w:sz="4" w:space="0" w:color="000000"/>
            </w:tcBorders>
          </w:tcPr>
          <w:p w14:paraId="2A95AC2D" w14:textId="77777777" w:rsidR="005E408A" w:rsidRPr="00D63FC3" w:rsidRDefault="005E408A" w:rsidP="005E408A">
            <w:pPr>
              <w:rPr>
                <w:rFonts w:ascii="Titillium" w:hAnsi="Titillium"/>
                <w:sz w:val="16"/>
                <w:szCs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AFB0247" w14:textId="77777777" w:rsidR="005E408A" w:rsidRPr="00D63FC3" w:rsidRDefault="005E408A" w:rsidP="005E408A">
            <w:pPr>
              <w:ind w:left="2"/>
              <w:rPr>
                <w:rFonts w:ascii="Titillium" w:hAnsi="Titillium"/>
                <w:sz w:val="16"/>
                <w:szCs w:val="16"/>
              </w:rPr>
            </w:pPr>
            <w:r w:rsidRPr="00D63FC3">
              <w:rPr>
                <w:rFonts w:ascii="Titillium" w:eastAsia="Times New Roman" w:hAnsi="Titillium" w:cs="Times New Roman"/>
                <w:sz w:val="16"/>
                <w:szCs w:val="16"/>
              </w:rPr>
              <w:t xml:space="preserve">Maksymalna wysokość zabudowy </w:t>
            </w:r>
          </w:p>
        </w:tc>
        <w:tc>
          <w:tcPr>
            <w:tcW w:w="4800" w:type="dxa"/>
            <w:tcBorders>
              <w:top w:val="single" w:sz="4" w:space="0" w:color="000000"/>
              <w:left w:val="single" w:sz="4" w:space="0" w:color="000000"/>
              <w:bottom w:val="single" w:sz="4" w:space="0" w:color="000000"/>
              <w:right w:val="single" w:sz="4" w:space="0" w:color="000000"/>
            </w:tcBorders>
            <w:vAlign w:val="center"/>
          </w:tcPr>
          <w:p w14:paraId="1EF1FAB2" w14:textId="7C925F25"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Maksymalna  wysokość  zabudowy do 16m, w pasie terenu o szerokości maksimum 30 m od linii rozgraniczającej teren i 2KD-Z ul. Bohaterów Getta – maksimum do 21 m.</w:t>
            </w:r>
          </w:p>
        </w:tc>
      </w:tr>
      <w:tr w:rsidR="00D63FC3" w:rsidRPr="00D63FC3" w14:paraId="302134DF" w14:textId="77777777" w:rsidTr="00A96F60">
        <w:trPr>
          <w:trHeight w:val="390"/>
        </w:trPr>
        <w:tc>
          <w:tcPr>
            <w:tcW w:w="0" w:type="auto"/>
            <w:vMerge/>
            <w:tcBorders>
              <w:top w:val="nil"/>
              <w:left w:val="single" w:sz="4" w:space="0" w:color="000000"/>
              <w:bottom w:val="nil"/>
              <w:right w:val="single" w:sz="4" w:space="0" w:color="000000"/>
            </w:tcBorders>
          </w:tcPr>
          <w:p w14:paraId="4A4608B2" w14:textId="77777777" w:rsidR="00E134F7" w:rsidRPr="00D63FC3" w:rsidRDefault="00E134F7" w:rsidP="009D7FC0">
            <w:pPr>
              <w:rPr>
                <w:rFonts w:ascii="Titillium" w:hAnsi="Titillium"/>
                <w:sz w:val="16"/>
                <w:szCs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BC86ECD" w14:textId="77777777" w:rsidR="00E134F7" w:rsidRPr="00D63FC3" w:rsidRDefault="00E134F7" w:rsidP="008B1520">
            <w:pPr>
              <w:ind w:left="2"/>
              <w:rPr>
                <w:rFonts w:ascii="Titillium" w:hAnsi="Titillium"/>
                <w:sz w:val="16"/>
                <w:szCs w:val="16"/>
              </w:rPr>
            </w:pPr>
            <w:r w:rsidRPr="00D63FC3">
              <w:rPr>
                <w:rFonts w:ascii="Titillium" w:eastAsia="Times New Roman" w:hAnsi="Titillium" w:cs="Times New Roman"/>
                <w:sz w:val="16"/>
                <w:szCs w:val="16"/>
              </w:rPr>
              <w:t xml:space="preserve">Minimalny udział procentowy powierzchni biologicznie czynnej </w:t>
            </w:r>
          </w:p>
        </w:tc>
        <w:tc>
          <w:tcPr>
            <w:tcW w:w="4800" w:type="dxa"/>
            <w:tcBorders>
              <w:top w:val="single" w:sz="4" w:space="0" w:color="000000"/>
              <w:left w:val="single" w:sz="4" w:space="0" w:color="000000"/>
              <w:bottom w:val="single" w:sz="4" w:space="0" w:color="000000"/>
              <w:right w:val="single" w:sz="4" w:space="0" w:color="000000"/>
            </w:tcBorders>
          </w:tcPr>
          <w:p w14:paraId="534F9C04" w14:textId="4F6C4A87" w:rsidR="00E134F7" w:rsidRPr="00902419" w:rsidRDefault="005E408A" w:rsidP="009D7FC0">
            <w:pPr>
              <w:ind w:left="4"/>
              <w:rPr>
                <w:rFonts w:ascii="Titillium" w:hAnsi="Titillium"/>
                <w:sz w:val="16"/>
                <w:szCs w:val="16"/>
              </w:rPr>
            </w:pPr>
            <w:r w:rsidRPr="00902419">
              <w:rPr>
                <w:rFonts w:ascii="Titillium" w:eastAsia="Times New Roman" w:hAnsi="Titillium" w:cs="Times New Roman"/>
                <w:sz w:val="16"/>
                <w:szCs w:val="16"/>
              </w:rPr>
              <w:t>Minimalna powierzchnia biologicznie czynna - 20% powierzchni terenu.</w:t>
            </w:r>
          </w:p>
        </w:tc>
      </w:tr>
      <w:tr w:rsidR="00D63FC3" w:rsidRPr="00D63FC3" w14:paraId="1F726D6B" w14:textId="77777777" w:rsidTr="00A96F60">
        <w:trPr>
          <w:trHeight w:val="234"/>
        </w:trPr>
        <w:tc>
          <w:tcPr>
            <w:tcW w:w="0" w:type="auto"/>
            <w:vMerge/>
            <w:tcBorders>
              <w:top w:val="nil"/>
              <w:left w:val="single" w:sz="4" w:space="0" w:color="000000"/>
              <w:bottom w:val="nil"/>
              <w:right w:val="single" w:sz="4" w:space="0" w:color="000000"/>
            </w:tcBorders>
          </w:tcPr>
          <w:p w14:paraId="04F62CAD" w14:textId="77777777" w:rsidR="00E134F7" w:rsidRPr="00D63FC3" w:rsidRDefault="00E134F7" w:rsidP="009D7FC0">
            <w:pPr>
              <w:rPr>
                <w:rFonts w:ascii="Titillium" w:hAnsi="Titillium"/>
                <w:sz w:val="16"/>
                <w:szCs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31C9E45" w14:textId="77777777" w:rsidR="00E134F7" w:rsidRPr="00D63FC3" w:rsidRDefault="00E134F7" w:rsidP="001F2D05">
            <w:pPr>
              <w:ind w:left="2"/>
              <w:jc w:val="both"/>
              <w:rPr>
                <w:rFonts w:ascii="Titillium" w:hAnsi="Titillium"/>
                <w:sz w:val="16"/>
                <w:szCs w:val="16"/>
              </w:rPr>
            </w:pPr>
            <w:r w:rsidRPr="00D63FC3">
              <w:rPr>
                <w:rFonts w:ascii="Titillium" w:eastAsia="Times New Roman" w:hAnsi="Titillium" w:cs="Times New Roman"/>
                <w:sz w:val="16"/>
                <w:szCs w:val="16"/>
              </w:rPr>
              <w:t xml:space="preserve">Minimalna liczba miejsc do parkowania </w:t>
            </w:r>
          </w:p>
        </w:tc>
        <w:tc>
          <w:tcPr>
            <w:tcW w:w="4800" w:type="dxa"/>
            <w:tcBorders>
              <w:top w:val="single" w:sz="4" w:space="0" w:color="000000"/>
              <w:left w:val="single" w:sz="4" w:space="0" w:color="000000"/>
              <w:bottom w:val="single" w:sz="4" w:space="0" w:color="000000"/>
              <w:right w:val="single" w:sz="4" w:space="0" w:color="000000"/>
            </w:tcBorders>
            <w:vAlign w:val="center"/>
          </w:tcPr>
          <w:p w14:paraId="2361D999" w14:textId="77777777" w:rsidR="005E408A" w:rsidRPr="00902419" w:rsidRDefault="005E408A" w:rsidP="005E408A">
            <w:pPr>
              <w:ind w:left="4"/>
              <w:rPr>
                <w:rFonts w:ascii="Titillium" w:eastAsia="Times New Roman" w:hAnsi="Titillium" w:cs="Times New Roman"/>
                <w:sz w:val="16"/>
                <w:szCs w:val="16"/>
              </w:rPr>
            </w:pPr>
            <w:r w:rsidRPr="00902419">
              <w:rPr>
                <w:rFonts w:ascii="Titillium" w:eastAsia="Times New Roman" w:hAnsi="Titillium" w:cs="Times New Roman"/>
                <w:sz w:val="16"/>
                <w:szCs w:val="16"/>
              </w:rPr>
              <w:t>Zapewnienie miejsc parkingowych dla funkcji:</w:t>
            </w:r>
          </w:p>
          <w:p w14:paraId="7BE59A05" w14:textId="77777777" w:rsidR="005E408A" w:rsidRPr="00902419" w:rsidRDefault="005E408A" w:rsidP="005E408A">
            <w:pPr>
              <w:rPr>
                <w:rFonts w:ascii="Titillium" w:hAnsi="Titillium"/>
                <w:sz w:val="16"/>
                <w:szCs w:val="16"/>
              </w:rPr>
            </w:pPr>
            <w:r w:rsidRPr="00902419">
              <w:rPr>
                <w:rFonts w:ascii="Titillium" w:hAnsi="Titillium"/>
                <w:sz w:val="16"/>
                <w:szCs w:val="16"/>
              </w:rPr>
              <w:t>1) nowa zabudowa mieszkaniowa wielorodzinna – 1,0 miejsca postojowego na 1 mieszkanie;</w:t>
            </w:r>
          </w:p>
          <w:p w14:paraId="45CB330E" w14:textId="3252B10C" w:rsidR="00E134F7" w:rsidRPr="00902419" w:rsidRDefault="005E408A" w:rsidP="005E408A">
            <w:pPr>
              <w:ind w:left="4"/>
              <w:rPr>
                <w:rFonts w:ascii="Titillium" w:eastAsia="Times New Roman" w:hAnsi="Titillium" w:cs="Times New Roman"/>
                <w:sz w:val="16"/>
                <w:szCs w:val="16"/>
              </w:rPr>
            </w:pPr>
            <w:r w:rsidRPr="00902419">
              <w:rPr>
                <w:rFonts w:ascii="Titillium" w:hAnsi="Titillium"/>
                <w:sz w:val="16"/>
                <w:szCs w:val="16"/>
              </w:rPr>
              <w:t>2) Miejsca postojowe dla usług w parterze budynków mieszkalnych wielorodzinnych – ustala się w całości w liniach rozgraniczających dróg publicznych, bez określania wskaźnika.</w:t>
            </w:r>
          </w:p>
        </w:tc>
      </w:tr>
      <w:tr w:rsidR="005E408A" w:rsidRPr="00D63FC3" w14:paraId="0DF68631" w14:textId="77777777" w:rsidTr="004D78CA">
        <w:trPr>
          <w:trHeight w:val="3218"/>
        </w:trPr>
        <w:tc>
          <w:tcPr>
            <w:tcW w:w="0" w:type="auto"/>
            <w:vMerge/>
            <w:tcBorders>
              <w:top w:val="nil"/>
              <w:left w:val="single" w:sz="4" w:space="0" w:color="000000"/>
              <w:bottom w:val="nil"/>
              <w:right w:val="single" w:sz="4" w:space="0" w:color="000000"/>
            </w:tcBorders>
          </w:tcPr>
          <w:p w14:paraId="03DC5760" w14:textId="77777777" w:rsidR="005E408A" w:rsidRPr="00D63FC3" w:rsidRDefault="005E408A" w:rsidP="005E408A">
            <w:pPr>
              <w:rPr>
                <w:rFonts w:ascii="Titillium" w:hAnsi="Titillium"/>
                <w:sz w:val="16"/>
                <w:szCs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710A583" w14:textId="6F3B586E" w:rsidR="005E408A" w:rsidRPr="00D63FC3" w:rsidRDefault="005E408A" w:rsidP="005E408A">
            <w:pPr>
              <w:ind w:left="2"/>
              <w:jc w:val="both"/>
              <w:rPr>
                <w:rFonts w:ascii="Titillium" w:hAnsi="Titillium"/>
                <w:sz w:val="16"/>
                <w:szCs w:val="16"/>
              </w:rPr>
            </w:pPr>
            <w:r w:rsidRPr="00D63FC3">
              <w:rPr>
                <w:rFonts w:ascii="Titillium" w:eastAsia="Times New Roman" w:hAnsi="Titillium" w:cs="Times New Roman"/>
                <w:sz w:val="16"/>
                <w:szCs w:val="16"/>
              </w:rPr>
              <w:t>Warunki ochrony środowiska</w:t>
            </w:r>
            <w:r w:rsidRPr="00D63FC3">
              <w:rPr>
                <w:rFonts w:ascii="Titillium" w:eastAsia="Times New Roman" w:hAnsi="Titillium" w:cs="Times New Roman"/>
                <w:sz w:val="16"/>
                <w:szCs w:val="16"/>
              </w:rPr>
              <w:br/>
              <w:t>i zdrowia ludzi, przyrody</w:t>
            </w:r>
            <w:r w:rsidRPr="00D63FC3">
              <w:rPr>
                <w:rFonts w:ascii="Titillium" w:eastAsia="Times New Roman" w:hAnsi="Titillium" w:cs="Times New Roman"/>
                <w:sz w:val="16"/>
                <w:szCs w:val="16"/>
              </w:rPr>
              <w:br/>
              <w:t xml:space="preserve">i krajobrazu </w:t>
            </w:r>
          </w:p>
        </w:tc>
        <w:tc>
          <w:tcPr>
            <w:tcW w:w="4800" w:type="dxa"/>
            <w:tcBorders>
              <w:top w:val="single" w:sz="4" w:space="0" w:color="000000"/>
              <w:left w:val="single" w:sz="4" w:space="0" w:color="000000"/>
              <w:bottom w:val="single" w:sz="4" w:space="0" w:color="000000"/>
              <w:right w:val="single" w:sz="4" w:space="0" w:color="000000"/>
            </w:tcBorders>
          </w:tcPr>
          <w:p w14:paraId="66D98081" w14:textId="77777777" w:rsidR="005E408A" w:rsidRPr="00902419" w:rsidRDefault="005E408A" w:rsidP="005E408A">
            <w:pPr>
              <w:jc w:val="both"/>
              <w:rPr>
                <w:rFonts w:ascii="Titillium" w:hAnsi="Titillium"/>
                <w:sz w:val="16"/>
                <w:szCs w:val="16"/>
              </w:rPr>
            </w:pPr>
            <w:r w:rsidRPr="00902419">
              <w:rPr>
                <w:rFonts w:ascii="Titillium" w:hAnsi="Titillium"/>
                <w:sz w:val="16"/>
                <w:szCs w:val="16"/>
              </w:rPr>
              <w:t>W zakresie kształtowania zieleni, ustala się:</w:t>
            </w:r>
          </w:p>
          <w:p w14:paraId="4123CD80"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1) zagospodarowanie terenu z uwzględnieniem zieleni wysokiej w proporcji:</w:t>
            </w:r>
          </w:p>
          <w:p w14:paraId="158F6BEA"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a) w przypadku wycinki drzew, co najmniej 1 drzewo za 1 wycięte drzewo w obrębie działki budowlanej lub terenu, na którym jest ona wykonywana – nie dotyczy dróg publicznych, dróg wewnętrznych oraz terenów przeznaczonych pod parkingi wielopoziomowe,</w:t>
            </w:r>
          </w:p>
          <w:p w14:paraId="3A2B9D44"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b) co najmniej 1 drzewo na 5 miejsc postojowych w obrębie parkingu realizowanego w poziomie terenu lub po jego obrysie – nie dotyczy parkingów w drogach publicznych oraz parkingów podziemnych i wielopoziomowych oraz parkingów urządzonych na budynkach i dachach;</w:t>
            </w:r>
          </w:p>
          <w:p w14:paraId="363D0874"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 xml:space="preserve">2) w pasach drogowych ulic – stosowanie gatunków drzew i krzewów odpowiednich do </w:t>
            </w:r>
            <w:proofErr w:type="spellStart"/>
            <w:r w:rsidRPr="00902419">
              <w:rPr>
                <w:rFonts w:ascii="Titillium" w:hAnsi="Titillium"/>
                <w:sz w:val="16"/>
                <w:szCs w:val="16"/>
              </w:rPr>
              <w:t>nasadzeń</w:t>
            </w:r>
            <w:proofErr w:type="spellEnd"/>
            <w:r w:rsidRPr="00902419">
              <w:rPr>
                <w:rFonts w:ascii="Titillium" w:hAnsi="Titillium"/>
                <w:sz w:val="16"/>
                <w:szCs w:val="16"/>
              </w:rPr>
              <w:t xml:space="preserve"> przyulicznych pod względem estetyki i odporności w miejscach wolnych od infrastruktury technicznej, z zachowaniem zasad bezpieczeństwa ruchu drogowego i pieszych.</w:t>
            </w:r>
          </w:p>
          <w:p w14:paraId="5E7A204E" w14:textId="77777777" w:rsidR="005E408A" w:rsidRPr="00902419" w:rsidRDefault="005E408A" w:rsidP="005E408A">
            <w:pPr>
              <w:ind w:left="4"/>
              <w:jc w:val="both"/>
              <w:rPr>
                <w:rFonts w:ascii="Titillium" w:hAnsi="Titillium"/>
                <w:sz w:val="16"/>
                <w:szCs w:val="16"/>
              </w:rPr>
            </w:pPr>
          </w:p>
          <w:p w14:paraId="0E364C32"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W odniesieniu do istniejącego drzewostanu wskazanego do zachowania na rysunku planu:</w:t>
            </w:r>
          </w:p>
          <w:p w14:paraId="5415D74E"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1) ustala się:</w:t>
            </w:r>
          </w:p>
          <w:p w14:paraId="64F1AD91"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a) utrzymanie terenu biologicznie czynnego wokół pnia, a w przypadku braku takiej możliwości, stosowanie nawierzchni przepuszczalnych,</w:t>
            </w:r>
          </w:p>
          <w:p w14:paraId="269C7289"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b) wkomponowanie w projektowane zagospodarowanie;</w:t>
            </w:r>
          </w:p>
          <w:p w14:paraId="5AE2C9F5"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2) dopuszcza się wycinkę ze względu na konieczność realizacji sieci i elementów infrastruktury technicznej i komunikacyjnej, w tym parkingów podziemnych i wielopoziomowych, względy sanitarne, estetyczne oraz zagrożenie ludzi lub mienia.</w:t>
            </w:r>
          </w:p>
          <w:p w14:paraId="496AB430" w14:textId="77777777" w:rsidR="005E408A" w:rsidRPr="009D1EE6" w:rsidRDefault="005E408A" w:rsidP="005E408A">
            <w:pPr>
              <w:ind w:left="4"/>
              <w:jc w:val="both"/>
              <w:rPr>
                <w:rFonts w:ascii="Titillium" w:hAnsi="Titillium"/>
                <w:color w:val="00B050"/>
                <w:sz w:val="16"/>
                <w:szCs w:val="16"/>
              </w:rPr>
            </w:pPr>
          </w:p>
          <w:p w14:paraId="1D8F7CC4"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W zakresie kształtowania zieleni towarzyszącej zabudowie mieszkaniowej wielorodzinnej, z uwzględnieniem ustaleń szczegółowych:</w:t>
            </w:r>
          </w:p>
          <w:p w14:paraId="24B23130" w14:textId="77777777" w:rsidR="005E408A" w:rsidRPr="00902419" w:rsidRDefault="005E408A" w:rsidP="005E408A">
            <w:pPr>
              <w:jc w:val="both"/>
              <w:rPr>
                <w:rFonts w:ascii="Titillium" w:hAnsi="Titillium"/>
                <w:sz w:val="16"/>
                <w:szCs w:val="16"/>
              </w:rPr>
            </w:pPr>
            <w:r w:rsidRPr="00902419">
              <w:rPr>
                <w:rFonts w:ascii="Titillium" w:hAnsi="Titillium"/>
                <w:sz w:val="16"/>
                <w:szCs w:val="16"/>
              </w:rPr>
              <w:t>1) ustala się:</w:t>
            </w:r>
          </w:p>
          <w:p w14:paraId="6315CAF0"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a) zagospodarowanie zielenią w formie wielostopniowej kompozycji (drzew, krzewów i roślin okrywowych),</w:t>
            </w:r>
          </w:p>
          <w:p w14:paraId="5617447C"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b) kształtowanie nawierzchni utwardzonych z uwzględnieniem istniejących i projektowanych ciągów pieszych ogólnodostępnych (publicznie dostępnych) oraz przyległych przestrzeni publicznych,</w:t>
            </w:r>
          </w:p>
          <w:p w14:paraId="55AB2715"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c) zachowanie określonego w ustaleniach szczegółowych udziału powierzchni biologicznie czynnej;</w:t>
            </w:r>
          </w:p>
          <w:p w14:paraId="220728E6"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2) dopuszcza się lokalizację:</w:t>
            </w:r>
          </w:p>
          <w:p w14:paraId="07B8B1FC"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a) placów zabaw i miejsc rekreacji,</w:t>
            </w:r>
          </w:p>
          <w:p w14:paraId="5390CD63"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b) terenowych urządzeń sportowych,</w:t>
            </w:r>
          </w:p>
          <w:p w14:paraId="75243BAF"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c) obiektów małej architektury oraz oświetlenia o zharmonizowanym charakterze,</w:t>
            </w:r>
          </w:p>
          <w:p w14:paraId="0A1297EC"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d) akcentów plastycznych, rzeźb, fontann itp.,</w:t>
            </w:r>
          </w:p>
          <w:p w14:paraId="065AE938"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e) miejsc do gromadzenia odpadów stałych (śmietników) i trzepaków,</w:t>
            </w:r>
          </w:p>
          <w:p w14:paraId="68B1AA76"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lastRenderedPageBreak/>
              <w:t xml:space="preserve">f) sieci i elementów infrastruktury technicznej takich jak stacja </w:t>
            </w:r>
            <w:proofErr w:type="spellStart"/>
            <w:r w:rsidRPr="00902419">
              <w:rPr>
                <w:rFonts w:ascii="Titillium" w:hAnsi="Titillium"/>
                <w:sz w:val="16"/>
                <w:szCs w:val="16"/>
              </w:rPr>
              <w:t>trafo</w:t>
            </w:r>
            <w:proofErr w:type="spellEnd"/>
            <w:r w:rsidRPr="00902419">
              <w:rPr>
                <w:rFonts w:ascii="Titillium" w:hAnsi="Titillium"/>
                <w:sz w:val="16"/>
                <w:szCs w:val="16"/>
              </w:rPr>
              <w:t xml:space="preserve"> (kontenerowa lub typu „słup ogłoszeniowy”).</w:t>
            </w:r>
          </w:p>
          <w:p w14:paraId="02E555A6" w14:textId="77777777" w:rsidR="005E408A" w:rsidRPr="00902419" w:rsidRDefault="005E408A" w:rsidP="005E408A">
            <w:pPr>
              <w:ind w:left="4"/>
              <w:jc w:val="both"/>
              <w:rPr>
                <w:rFonts w:ascii="Titillium" w:hAnsi="Titillium"/>
                <w:sz w:val="16"/>
                <w:szCs w:val="16"/>
              </w:rPr>
            </w:pPr>
          </w:p>
          <w:p w14:paraId="3313808C"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W zakresie gospodarki odpadami ustala się prowadzenie zagospodarowania odpadów w oparciu o plan gospodarki odpadami.</w:t>
            </w:r>
          </w:p>
          <w:p w14:paraId="0E373A08" w14:textId="77777777" w:rsidR="005E408A" w:rsidRPr="00902419" w:rsidRDefault="005E408A" w:rsidP="005E408A">
            <w:pPr>
              <w:ind w:left="4"/>
              <w:jc w:val="both"/>
              <w:rPr>
                <w:rFonts w:ascii="Titillium" w:hAnsi="Titillium"/>
                <w:sz w:val="16"/>
                <w:szCs w:val="16"/>
              </w:rPr>
            </w:pPr>
          </w:p>
          <w:p w14:paraId="77B9EDBD" w14:textId="77777777" w:rsidR="005E408A" w:rsidRPr="00902419" w:rsidRDefault="005E408A" w:rsidP="005E408A">
            <w:pPr>
              <w:ind w:left="4"/>
              <w:jc w:val="both"/>
              <w:rPr>
                <w:rFonts w:ascii="Titillium" w:hAnsi="Titillium"/>
                <w:sz w:val="16"/>
                <w:szCs w:val="16"/>
              </w:rPr>
            </w:pPr>
            <w:r w:rsidRPr="00902419">
              <w:rPr>
                <w:rFonts w:ascii="Titillium" w:hAnsi="Titillium"/>
                <w:sz w:val="16"/>
                <w:szCs w:val="16"/>
              </w:rPr>
              <w:t>W zakresie ochrony przed hałasem ustala się dopuszczalny poziom hałasu:</w:t>
            </w:r>
          </w:p>
          <w:p w14:paraId="763297CD" w14:textId="1718F53B" w:rsidR="005E408A" w:rsidRPr="00D63FC3" w:rsidRDefault="005E408A" w:rsidP="004D78CA">
            <w:pPr>
              <w:ind w:left="4"/>
              <w:jc w:val="both"/>
              <w:rPr>
                <w:rFonts w:ascii="Titillium" w:hAnsi="Titillium"/>
                <w:sz w:val="16"/>
                <w:szCs w:val="16"/>
              </w:rPr>
            </w:pPr>
            <w:r w:rsidRPr="00902419">
              <w:rPr>
                <w:rFonts w:ascii="Titillium" w:hAnsi="Titillium"/>
                <w:sz w:val="16"/>
                <w:szCs w:val="16"/>
              </w:rPr>
              <w:t xml:space="preserve">1) na całym obszarze objętym planem – jak dla terenów w strefie śródmiejskiej miast powyżej 100 tys. </w:t>
            </w:r>
            <w:r w:rsidR="0041742F">
              <w:rPr>
                <w:rFonts w:ascii="Titillium" w:hAnsi="Titillium"/>
                <w:sz w:val="16"/>
                <w:szCs w:val="16"/>
              </w:rPr>
              <w:t>m</w:t>
            </w:r>
            <w:r w:rsidRPr="00902419">
              <w:rPr>
                <w:rFonts w:ascii="Titillium" w:hAnsi="Titillium"/>
                <w:sz w:val="16"/>
                <w:szCs w:val="16"/>
              </w:rPr>
              <w:t>ieszkańców</w:t>
            </w:r>
            <w:r w:rsidR="0041742F">
              <w:rPr>
                <w:rFonts w:ascii="Titillium" w:hAnsi="Titillium"/>
                <w:sz w:val="16"/>
                <w:szCs w:val="16"/>
              </w:rPr>
              <w:t>.</w:t>
            </w:r>
          </w:p>
        </w:tc>
      </w:tr>
      <w:tr w:rsidR="00D63FC3" w:rsidRPr="00D63FC3" w14:paraId="4A658460" w14:textId="77777777" w:rsidTr="00A96F60">
        <w:trPr>
          <w:trHeight w:val="759"/>
        </w:trPr>
        <w:tc>
          <w:tcPr>
            <w:tcW w:w="0" w:type="auto"/>
            <w:vMerge/>
            <w:tcBorders>
              <w:top w:val="nil"/>
              <w:left w:val="single" w:sz="4" w:space="0" w:color="000000"/>
              <w:bottom w:val="single" w:sz="4" w:space="0" w:color="000000"/>
              <w:right w:val="single" w:sz="4" w:space="0" w:color="000000"/>
            </w:tcBorders>
          </w:tcPr>
          <w:p w14:paraId="4586BCE0" w14:textId="77777777" w:rsidR="00E134F7" w:rsidRPr="00D63FC3" w:rsidRDefault="00E134F7" w:rsidP="009D7FC0">
            <w:pPr>
              <w:rPr>
                <w:rFonts w:ascii="Titillium" w:hAnsi="Titillium"/>
                <w:sz w:val="16"/>
                <w:szCs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D08A441" w14:textId="77777777" w:rsidR="00E134F7" w:rsidRPr="00D63FC3" w:rsidRDefault="00E134F7" w:rsidP="009D7FC0">
            <w:pPr>
              <w:ind w:left="2" w:right="51"/>
              <w:jc w:val="both"/>
              <w:rPr>
                <w:rFonts w:ascii="Titillium" w:hAnsi="Titillium"/>
                <w:sz w:val="16"/>
                <w:szCs w:val="16"/>
              </w:rPr>
            </w:pPr>
            <w:r w:rsidRPr="00D63FC3">
              <w:rPr>
                <w:rFonts w:ascii="Titillium" w:eastAsia="Times New Roman" w:hAnsi="Titillium" w:cs="Times New Roman"/>
                <w:sz w:val="16"/>
                <w:szCs w:val="16"/>
              </w:rPr>
              <w:t xml:space="preserve">Wymagania dotyczące zabudowy i zagospodarowania terenu położonego na obszarach szczególnego zagrożenia powodzią </w:t>
            </w:r>
          </w:p>
        </w:tc>
        <w:tc>
          <w:tcPr>
            <w:tcW w:w="4800" w:type="dxa"/>
            <w:tcBorders>
              <w:top w:val="single" w:sz="4" w:space="0" w:color="000000"/>
              <w:left w:val="single" w:sz="4" w:space="0" w:color="000000"/>
              <w:bottom w:val="single" w:sz="4" w:space="0" w:color="000000"/>
              <w:right w:val="single" w:sz="4" w:space="0" w:color="000000"/>
            </w:tcBorders>
          </w:tcPr>
          <w:p w14:paraId="52D1C317"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Na  obszarze  objętym  planem  nie  występują  tereny  narażone na niebezpieczeństwo powodzi.</w:t>
            </w:r>
          </w:p>
          <w:p w14:paraId="1A625BB9" w14:textId="72200E4E" w:rsidR="00E134F7" w:rsidRPr="00902419" w:rsidRDefault="00E134F7" w:rsidP="0041742F">
            <w:pPr>
              <w:jc w:val="both"/>
              <w:rPr>
                <w:rFonts w:ascii="Titillium" w:eastAsia="Times New Roman" w:hAnsi="Titillium" w:cs="Times New Roman"/>
                <w:sz w:val="16"/>
                <w:szCs w:val="16"/>
              </w:rPr>
            </w:pPr>
          </w:p>
        </w:tc>
      </w:tr>
      <w:tr w:rsidR="00D63FC3" w:rsidRPr="00D63FC3" w14:paraId="4D3FD063" w14:textId="77777777" w:rsidTr="00A96F60">
        <w:tblPrEx>
          <w:tblCellMar>
            <w:top w:w="47" w:type="dxa"/>
            <w:right w:w="56" w:type="dxa"/>
          </w:tblCellMar>
        </w:tblPrEx>
        <w:trPr>
          <w:trHeight w:val="645"/>
        </w:trPr>
        <w:tc>
          <w:tcPr>
            <w:tcW w:w="2808" w:type="dxa"/>
            <w:vMerge w:val="restart"/>
            <w:tcBorders>
              <w:top w:val="single" w:sz="4" w:space="0" w:color="000000"/>
              <w:left w:val="single" w:sz="4" w:space="0" w:color="000000"/>
              <w:bottom w:val="nil"/>
              <w:right w:val="single" w:sz="4" w:space="0" w:color="000000"/>
            </w:tcBorders>
            <w:shd w:val="clear" w:color="auto" w:fill="F3F3F3"/>
          </w:tcPr>
          <w:p w14:paraId="663CE1CA" w14:textId="77777777" w:rsidR="00095A92" w:rsidRPr="00D63FC3" w:rsidRDefault="00095A92">
            <w:pPr>
              <w:rPr>
                <w:rFonts w:ascii="Titillium" w:hAnsi="Titillium"/>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8AEEE34" w14:textId="77777777" w:rsidR="00095A92" w:rsidRPr="00D63FC3" w:rsidRDefault="00095A92">
            <w:pPr>
              <w:ind w:left="2" w:right="51"/>
              <w:jc w:val="both"/>
              <w:rPr>
                <w:rFonts w:ascii="Titillium" w:hAnsi="Titillium"/>
                <w:sz w:val="16"/>
                <w:szCs w:val="16"/>
              </w:rPr>
            </w:pPr>
            <w:r w:rsidRPr="00D63FC3">
              <w:rPr>
                <w:rFonts w:ascii="Titillium" w:eastAsia="Times New Roman" w:hAnsi="Titillium" w:cs="Times New Roman"/>
                <w:sz w:val="16"/>
                <w:szCs w:val="16"/>
              </w:rPr>
              <w:t xml:space="preserve">Warunki ochrony dziedzictwa kulturowego i zabytków oraz dóbr kultury współczesnej </w:t>
            </w:r>
          </w:p>
        </w:tc>
        <w:tc>
          <w:tcPr>
            <w:tcW w:w="4800" w:type="dxa"/>
            <w:tcBorders>
              <w:top w:val="single" w:sz="4" w:space="0" w:color="000000"/>
              <w:left w:val="single" w:sz="4" w:space="0" w:color="000000"/>
              <w:bottom w:val="single" w:sz="4" w:space="0" w:color="000000"/>
              <w:right w:val="single" w:sz="4" w:space="0" w:color="000000"/>
            </w:tcBorders>
          </w:tcPr>
          <w:p w14:paraId="79F52956" w14:textId="353FCC6E" w:rsidR="00A54FC1" w:rsidRPr="00902419" w:rsidRDefault="005E408A" w:rsidP="00B862E1">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Teren </w:t>
            </w:r>
            <w:r w:rsidRPr="00902419">
              <w:rPr>
                <w:rFonts w:ascii="Titillium" w:hAnsi="Titillium"/>
                <w:sz w:val="16"/>
                <w:szCs w:val="16"/>
              </w:rPr>
              <w:t xml:space="preserve">6.1MW, U </w:t>
            </w:r>
            <w:r w:rsidRPr="00902419">
              <w:rPr>
                <w:rFonts w:ascii="Titillium" w:eastAsia="Times New Roman" w:hAnsi="Titillium" w:cs="Times New Roman"/>
                <w:sz w:val="16"/>
                <w:szCs w:val="16"/>
              </w:rPr>
              <w:t>nie  jest  objęty  ochroną  konserwatorską,  nie występują na nim obiekty zabytkowe i obiekty dóbr kultury współczesnej.</w:t>
            </w:r>
          </w:p>
        </w:tc>
      </w:tr>
      <w:tr w:rsidR="00D63FC3" w:rsidRPr="00D63FC3" w14:paraId="14324F16" w14:textId="77777777" w:rsidTr="00A96F60">
        <w:tblPrEx>
          <w:tblCellMar>
            <w:top w:w="47" w:type="dxa"/>
            <w:right w:w="56" w:type="dxa"/>
          </w:tblCellMar>
        </w:tblPrEx>
        <w:trPr>
          <w:trHeight w:val="655"/>
        </w:trPr>
        <w:tc>
          <w:tcPr>
            <w:tcW w:w="0" w:type="auto"/>
            <w:vMerge/>
            <w:tcBorders>
              <w:top w:val="nil"/>
              <w:left w:val="single" w:sz="4" w:space="0" w:color="000000"/>
              <w:bottom w:val="nil"/>
              <w:right w:val="single" w:sz="4" w:space="0" w:color="000000"/>
            </w:tcBorders>
          </w:tcPr>
          <w:p w14:paraId="242A4174" w14:textId="77777777" w:rsidR="00095A92" w:rsidRPr="00D63FC3" w:rsidRDefault="00095A92">
            <w:pPr>
              <w:rPr>
                <w:rFonts w:ascii="Titillium" w:hAnsi="Titillium"/>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41DD0AB" w14:textId="77777777" w:rsidR="00095A92" w:rsidRPr="00D63FC3" w:rsidRDefault="00095A92">
            <w:pPr>
              <w:ind w:left="2" w:right="51"/>
              <w:jc w:val="both"/>
              <w:rPr>
                <w:rFonts w:ascii="Titillium" w:hAnsi="Titillium"/>
                <w:sz w:val="16"/>
                <w:szCs w:val="16"/>
              </w:rPr>
            </w:pPr>
            <w:r w:rsidRPr="00D63FC3">
              <w:rPr>
                <w:rFonts w:ascii="Titillium" w:eastAsia="Times New Roman" w:hAnsi="Titillium" w:cs="Times New Roman"/>
                <w:sz w:val="16"/>
                <w:szCs w:val="16"/>
              </w:rPr>
              <w:t xml:space="preserve">Wymagania dotyczące ochrony innych terenów lub obiektów podlegających ochronie na podstawie przepisów odrębnych </w:t>
            </w:r>
          </w:p>
        </w:tc>
        <w:tc>
          <w:tcPr>
            <w:tcW w:w="4800" w:type="dxa"/>
            <w:tcBorders>
              <w:top w:val="single" w:sz="4" w:space="0" w:color="000000"/>
              <w:left w:val="single" w:sz="4" w:space="0" w:color="000000"/>
              <w:bottom w:val="single" w:sz="4" w:space="0" w:color="000000"/>
              <w:right w:val="single" w:sz="4" w:space="0" w:color="000000"/>
            </w:tcBorders>
          </w:tcPr>
          <w:p w14:paraId="06DAD537" w14:textId="7EA9558F" w:rsidR="00095A92" w:rsidRPr="00902419" w:rsidRDefault="005E408A" w:rsidP="00244E52">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Na obszarze objętym planem nie występują tereny lub obiekty podlegające ochronie, ustalone na podstawie przepisów odrębnych, w tym tereny górnicze, a także zagrożone osuwaniem się mas ziemnych, krajobrazów priorytetowych określonych w audycie krajobrazowym oraz w planach zagospodarowania województwa.</w:t>
            </w:r>
          </w:p>
        </w:tc>
      </w:tr>
      <w:tr w:rsidR="00D63FC3" w:rsidRPr="00D63FC3" w14:paraId="3370D79D" w14:textId="77777777" w:rsidTr="00A96F60">
        <w:tblPrEx>
          <w:tblCellMar>
            <w:top w:w="47" w:type="dxa"/>
            <w:right w:w="56" w:type="dxa"/>
          </w:tblCellMar>
        </w:tblPrEx>
        <w:trPr>
          <w:trHeight w:val="760"/>
        </w:trPr>
        <w:tc>
          <w:tcPr>
            <w:tcW w:w="2808" w:type="dxa"/>
            <w:vMerge w:val="restart"/>
            <w:tcBorders>
              <w:top w:val="nil"/>
              <w:left w:val="single" w:sz="4" w:space="0" w:color="000000"/>
              <w:bottom w:val="single" w:sz="4" w:space="0" w:color="000000"/>
              <w:right w:val="single" w:sz="4" w:space="0" w:color="000000"/>
            </w:tcBorders>
            <w:shd w:val="clear" w:color="auto" w:fill="F3F3F3"/>
          </w:tcPr>
          <w:p w14:paraId="6910C9FE" w14:textId="77777777" w:rsidR="00095A92" w:rsidRPr="00D63FC3" w:rsidRDefault="00095A92">
            <w:pPr>
              <w:rPr>
                <w:rFonts w:ascii="Titillium" w:hAnsi="Titillium"/>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4220EA8" w14:textId="77777777" w:rsidR="00095A92" w:rsidRPr="00902419" w:rsidRDefault="00095A92">
            <w:pPr>
              <w:ind w:left="2"/>
              <w:jc w:val="both"/>
              <w:rPr>
                <w:rFonts w:ascii="Titillium" w:hAnsi="Titillium"/>
                <w:sz w:val="16"/>
                <w:szCs w:val="16"/>
              </w:rPr>
            </w:pPr>
            <w:r w:rsidRPr="00902419">
              <w:rPr>
                <w:rFonts w:ascii="Titillium" w:eastAsia="Times New Roman" w:hAnsi="Titillium" w:cs="Times New Roman"/>
                <w:sz w:val="16"/>
                <w:szCs w:val="16"/>
              </w:rPr>
              <w:t xml:space="preserve">Warunki i szczegółowe zasady obsługi w zakresie komunikacji </w:t>
            </w:r>
          </w:p>
        </w:tc>
        <w:tc>
          <w:tcPr>
            <w:tcW w:w="4800" w:type="dxa"/>
            <w:tcBorders>
              <w:top w:val="single" w:sz="4" w:space="0" w:color="000000"/>
              <w:left w:val="single" w:sz="4" w:space="0" w:color="000000"/>
              <w:bottom w:val="single" w:sz="4" w:space="0" w:color="000000"/>
              <w:right w:val="single" w:sz="4" w:space="0" w:color="000000"/>
            </w:tcBorders>
          </w:tcPr>
          <w:p w14:paraId="0E7D538C" w14:textId="5E13D767"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Obsługę komunikacyjną – od otaczających dróg publicznych (2KD-Z – ul. Bohaterów Getta, 7KD-D – ul. Czysta, 4.1KD-D – ul. Proletariacka)  oraz drogi wewnętrznej 14KDW (ul. Bohaterów Getta)</w:t>
            </w:r>
            <w:r w:rsidR="001A4C39">
              <w:rPr>
                <w:rFonts w:ascii="Titillium" w:eastAsia="Times New Roman" w:hAnsi="Titillium" w:cs="Times New Roman"/>
                <w:sz w:val="16"/>
                <w:szCs w:val="16"/>
              </w:rPr>
              <w:t>.</w:t>
            </w:r>
          </w:p>
          <w:p w14:paraId="78FAE3CB" w14:textId="77777777" w:rsidR="005E408A" w:rsidRPr="00902419" w:rsidRDefault="005E408A" w:rsidP="005E408A">
            <w:pPr>
              <w:ind w:left="4"/>
              <w:rPr>
                <w:rFonts w:ascii="Titillium" w:eastAsia="Times New Roman" w:hAnsi="Titillium" w:cs="Times New Roman"/>
                <w:sz w:val="16"/>
                <w:szCs w:val="16"/>
              </w:rPr>
            </w:pPr>
          </w:p>
          <w:p w14:paraId="699926C2" w14:textId="41E05F28" w:rsidR="004209BB" w:rsidRPr="00902419" w:rsidRDefault="005E408A" w:rsidP="005E408A">
            <w:pPr>
              <w:ind w:left="4"/>
              <w:rPr>
                <w:rFonts w:ascii="Titillium" w:hAnsi="Titillium"/>
                <w:sz w:val="16"/>
                <w:szCs w:val="16"/>
              </w:rPr>
            </w:pPr>
            <w:r w:rsidRPr="00902419">
              <w:rPr>
                <w:rFonts w:ascii="Titillium" w:eastAsia="Times New Roman" w:hAnsi="Titillium" w:cs="Times New Roman"/>
                <w:sz w:val="16"/>
                <w:szCs w:val="16"/>
              </w:rPr>
              <w:t>Zaprojektowano dwa zjazdy do garaży, jeden zjazd</w:t>
            </w:r>
            <w:r w:rsidR="004F31E1">
              <w:rPr>
                <w:rFonts w:ascii="Titillium" w:eastAsia="Times New Roman" w:hAnsi="Titillium" w:cs="Times New Roman"/>
                <w:sz w:val="16"/>
                <w:szCs w:val="16"/>
              </w:rPr>
              <w:t xml:space="preserve"> na poziomie -1</w:t>
            </w:r>
            <w:r w:rsidRPr="00902419">
              <w:rPr>
                <w:rFonts w:ascii="Titillium" w:eastAsia="Times New Roman" w:hAnsi="Titillium" w:cs="Times New Roman"/>
                <w:sz w:val="16"/>
                <w:szCs w:val="16"/>
              </w:rPr>
              <w:t xml:space="preserve"> z ul. Czystej (7KD-D), drugi zjazd </w:t>
            </w:r>
            <w:r w:rsidR="004F31E1">
              <w:rPr>
                <w:rFonts w:ascii="Titillium" w:eastAsia="Times New Roman" w:hAnsi="Titillium" w:cs="Times New Roman"/>
                <w:sz w:val="16"/>
                <w:szCs w:val="16"/>
              </w:rPr>
              <w:t xml:space="preserve">na poziomie parteru </w:t>
            </w:r>
            <w:r w:rsidRPr="00902419">
              <w:rPr>
                <w:rFonts w:ascii="Titillium" w:eastAsia="Times New Roman" w:hAnsi="Titillium" w:cs="Times New Roman"/>
                <w:sz w:val="16"/>
                <w:szCs w:val="16"/>
              </w:rPr>
              <w:t>z ulicy wewnętrznej 14KDW</w:t>
            </w:r>
            <w:r w:rsidR="00DB5E12">
              <w:rPr>
                <w:rFonts w:ascii="Titillium" w:eastAsia="Times New Roman" w:hAnsi="Titillium" w:cs="Times New Roman"/>
                <w:sz w:val="16"/>
                <w:szCs w:val="16"/>
              </w:rPr>
              <w:t xml:space="preserve"> </w:t>
            </w:r>
            <w:r w:rsidR="00DB5E12" w:rsidRPr="00902419">
              <w:rPr>
                <w:rFonts w:ascii="Titillium" w:eastAsia="Times New Roman" w:hAnsi="Titillium" w:cs="Times New Roman"/>
                <w:sz w:val="16"/>
                <w:szCs w:val="16"/>
              </w:rPr>
              <w:t>(ul. Bohaterów Getta)</w:t>
            </w:r>
            <w:r w:rsidRPr="00902419">
              <w:rPr>
                <w:rFonts w:ascii="Titillium" w:eastAsia="Times New Roman" w:hAnsi="Titillium" w:cs="Times New Roman"/>
                <w:sz w:val="16"/>
                <w:szCs w:val="16"/>
              </w:rPr>
              <w:t>.</w:t>
            </w:r>
          </w:p>
        </w:tc>
      </w:tr>
      <w:tr w:rsidR="005E408A" w:rsidRPr="00D63FC3" w14:paraId="249BF32E" w14:textId="77777777" w:rsidTr="00A96F60">
        <w:tblPrEx>
          <w:tblCellMar>
            <w:top w:w="47" w:type="dxa"/>
            <w:right w:w="56" w:type="dxa"/>
          </w:tblCellMar>
        </w:tblPrEx>
        <w:trPr>
          <w:trHeight w:val="758"/>
        </w:trPr>
        <w:tc>
          <w:tcPr>
            <w:tcW w:w="0" w:type="auto"/>
            <w:vMerge/>
            <w:tcBorders>
              <w:top w:val="nil"/>
              <w:left w:val="single" w:sz="4" w:space="0" w:color="000000"/>
              <w:bottom w:val="single" w:sz="4" w:space="0" w:color="000000"/>
              <w:right w:val="single" w:sz="4" w:space="0" w:color="000000"/>
            </w:tcBorders>
          </w:tcPr>
          <w:p w14:paraId="0B0C7489" w14:textId="77777777" w:rsidR="005E408A" w:rsidRPr="00D63FC3" w:rsidRDefault="005E408A" w:rsidP="005E408A">
            <w:pPr>
              <w:rPr>
                <w:rFonts w:ascii="Titillium" w:hAnsi="Titillium"/>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7DF5EB8" w14:textId="77777777" w:rsidR="005E408A" w:rsidRPr="00D63FC3" w:rsidRDefault="005E408A" w:rsidP="005E408A">
            <w:pPr>
              <w:ind w:left="2"/>
              <w:jc w:val="both"/>
              <w:rPr>
                <w:rFonts w:ascii="Titillium" w:hAnsi="Titillium"/>
                <w:sz w:val="16"/>
                <w:szCs w:val="16"/>
              </w:rPr>
            </w:pPr>
            <w:r w:rsidRPr="00D63FC3">
              <w:rPr>
                <w:rFonts w:ascii="Titillium" w:eastAsia="Times New Roman" w:hAnsi="Titillium" w:cs="Times New Roman"/>
                <w:sz w:val="16"/>
                <w:szCs w:val="16"/>
              </w:rPr>
              <w:t xml:space="preserve">Warunki i szczegółowe zasady obsługi w zakresie infrastruktury technicznej </w:t>
            </w:r>
          </w:p>
        </w:tc>
        <w:tc>
          <w:tcPr>
            <w:tcW w:w="4800" w:type="dxa"/>
            <w:tcBorders>
              <w:top w:val="single" w:sz="4" w:space="0" w:color="000000"/>
              <w:left w:val="single" w:sz="4" w:space="0" w:color="000000"/>
              <w:bottom w:val="single" w:sz="4" w:space="0" w:color="000000"/>
              <w:right w:val="single" w:sz="4" w:space="0" w:color="000000"/>
            </w:tcBorders>
          </w:tcPr>
          <w:p w14:paraId="77A40CEC"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W zakresie zasad lokalizacji i parametrów infrastruktury technicznej:</w:t>
            </w:r>
          </w:p>
          <w:p w14:paraId="6B90A927"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1) ustala się:</w:t>
            </w:r>
          </w:p>
          <w:p w14:paraId="27B61AE8"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a) rodzaje i lokalizację infrastruktury technicznej </w:t>
            </w:r>
            <w:proofErr w:type="spellStart"/>
            <w:r w:rsidRPr="00902419">
              <w:rPr>
                <w:rFonts w:ascii="Titillium" w:eastAsia="Times New Roman" w:hAnsi="Titillium" w:cs="Times New Roman"/>
                <w:sz w:val="16"/>
                <w:szCs w:val="16"/>
              </w:rPr>
              <w:t>ogólnomiejskiej</w:t>
            </w:r>
            <w:proofErr w:type="spellEnd"/>
            <w:r w:rsidRPr="00902419">
              <w:rPr>
                <w:rFonts w:ascii="Titillium" w:eastAsia="Times New Roman" w:hAnsi="Titillium" w:cs="Times New Roman"/>
                <w:sz w:val="16"/>
                <w:szCs w:val="16"/>
              </w:rPr>
              <w:t xml:space="preserve"> w liniach rozgraniczających dróg i na terenach przewidzianych pod lokalizację infrastruktury, zgodnie ze schematami infrastruktury</w:t>
            </w:r>
          </w:p>
          <w:p w14:paraId="1032F2C0"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technicznej i zasadami rozrządu określonymi na rysunku planu,</w:t>
            </w:r>
          </w:p>
          <w:p w14:paraId="0D9779A2"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b) dostosowanie parametrów projektowanej infrastruktury technicznej do przewidywanego pełnego zainwestowania na terenach objętych ustaleniami planu, z uwzględnieniem przewidywanych potrzeb </w:t>
            </w:r>
            <w:proofErr w:type="spellStart"/>
            <w:r w:rsidRPr="00902419">
              <w:rPr>
                <w:rFonts w:ascii="Titillium" w:eastAsia="Times New Roman" w:hAnsi="Titillium" w:cs="Times New Roman"/>
                <w:sz w:val="16"/>
                <w:szCs w:val="16"/>
              </w:rPr>
              <w:t>przesyłu</w:t>
            </w:r>
            <w:proofErr w:type="spellEnd"/>
            <w:r w:rsidRPr="00902419">
              <w:rPr>
                <w:rFonts w:ascii="Titillium" w:eastAsia="Times New Roman" w:hAnsi="Titillium" w:cs="Times New Roman"/>
                <w:sz w:val="16"/>
                <w:szCs w:val="16"/>
              </w:rPr>
              <w:t xml:space="preserve"> mediów w obszarze obsługiwanym przez tę infrastrukturę (np. zlewni, obszaru zasilania);</w:t>
            </w:r>
          </w:p>
          <w:p w14:paraId="0721F314"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2) dopuszcza się:</w:t>
            </w:r>
          </w:p>
          <w:p w14:paraId="3C76F4B9"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a) przebudowę i likwidację istniejącej infrastruktury technicznej, pod warunkiem zastosowania rozwiązań określonych w lit. </w:t>
            </w:r>
            <w:proofErr w:type="spellStart"/>
            <w:r w:rsidRPr="00902419">
              <w:rPr>
                <w:rFonts w:ascii="Titillium" w:eastAsia="Times New Roman" w:hAnsi="Titillium" w:cs="Times New Roman"/>
                <w:sz w:val="16"/>
                <w:szCs w:val="16"/>
              </w:rPr>
              <w:t>b÷f</w:t>
            </w:r>
            <w:proofErr w:type="spellEnd"/>
            <w:r w:rsidRPr="00902419">
              <w:rPr>
                <w:rFonts w:ascii="Titillium" w:eastAsia="Times New Roman" w:hAnsi="Titillium" w:cs="Times New Roman"/>
                <w:sz w:val="16"/>
                <w:szCs w:val="16"/>
              </w:rPr>
              <w:t>,</w:t>
            </w:r>
          </w:p>
          <w:p w14:paraId="3A97285C"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b) zmianę lokalizacji infrastruktury technicznej określonej w pkt 1 lit. a, w zakresie ograniczonym infrastrukturą sąsiadującą (istniejącą i projektowaną), pod warunkiem zachowania zasad rozrządu</w:t>
            </w:r>
          </w:p>
          <w:p w14:paraId="53F43261"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uzbrojenia określonych na rysunku planu</w:t>
            </w:r>
          </w:p>
          <w:p w14:paraId="5A3D8EB9"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c) zmianę przedstawionych na rysunku planu zasad rozrządu, o których mowa w pkt 1 lit. a, pod warunkiem opracowania nowych zasad rozrządu, z uwzględnieniem wszystkich rodzajów sieci</w:t>
            </w:r>
          </w:p>
          <w:p w14:paraId="06994719"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przedstawionych na rysunku planu,</w:t>
            </w:r>
          </w:p>
          <w:p w14:paraId="41492F2C"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d) lokalizację infrastruktury nieuwzględnionej w rozrządzie, pod warunkiem opracowania nowych zasad</w:t>
            </w:r>
          </w:p>
          <w:p w14:paraId="2EAA0A25" w14:textId="5D21C9CE"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rozrządu i zachowania priorytetu lokalizacji infrastruktury technicznej </w:t>
            </w:r>
            <w:proofErr w:type="spellStart"/>
            <w:r w:rsidRPr="00902419">
              <w:rPr>
                <w:rFonts w:ascii="Titillium" w:eastAsia="Times New Roman" w:hAnsi="Titillium" w:cs="Times New Roman"/>
                <w:sz w:val="16"/>
                <w:szCs w:val="16"/>
              </w:rPr>
              <w:t>ogólnomiejskiej</w:t>
            </w:r>
            <w:proofErr w:type="spellEnd"/>
            <w:r w:rsidRPr="00902419">
              <w:rPr>
                <w:rFonts w:ascii="Titillium" w:eastAsia="Times New Roman" w:hAnsi="Titillium" w:cs="Times New Roman"/>
                <w:sz w:val="16"/>
                <w:szCs w:val="16"/>
              </w:rPr>
              <w:t xml:space="preserve"> przedstawionej</w:t>
            </w:r>
            <w:r w:rsidR="005F6464">
              <w:rPr>
                <w:rFonts w:ascii="Titillium" w:eastAsia="Times New Roman" w:hAnsi="Titillium" w:cs="Times New Roman"/>
                <w:sz w:val="16"/>
                <w:szCs w:val="16"/>
              </w:rPr>
              <w:t xml:space="preserve"> </w:t>
            </w:r>
            <w:r w:rsidRPr="00902419">
              <w:rPr>
                <w:rFonts w:ascii="Titillium" w:eastAsia="Times New Roman" w:hAnsi="Titillium" w:cs="Times New Roman"/>
                <w:sz w:val="16"/>
                <w:szCs w:val="16"/>
              </w:rPr>
              <w:t>na rysunku planu,</w:t>
            </w:r>
          </w:p>
          <w:p w14:paraId="4C540076"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lastRenderedPageBreak/>
              <w:t>e) lokalizację infrastruktury technicznej na innych terenach w przypadku braku możliwości lokalizacji na terenie wskazanym na rysunku planu,</w:t>
            </w:r>
          </w:p>
          <w:p w14:paraId="4DA29299"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f) stosowanie innych schematów zaopatrzenia w wodę, energię i gaz oraz odprowadzenia ścieków sanitarnych i wód opadowych, o których mowa w pkt 1 lit. a, pod warunkiem uwzględnienia wszystkich terenów objętych ustaleniami planu.</w:t>
            </w:r>
          </w:p>
          <w:p w14:paraId="70DEC85A" w14:textId="77777777" w:rsidR="005E408A" w:rsidRPr="00902419" w:rsidRDefault="005E408A" w:rsidP="005E408A">
            <w:pPr>
              <w:jc w:val="both"/>
              <w:rPr>
                <w:rFonts w:ascii="Titillium" w:eastAsia="Times New Roman" w:hAnsi="Titillium" w:cs="Times New Roman"/>
                <w:sz w:val="16"/>
                <w:szCs w:val="16"/>
              </w:rPr>
            </w:pPr>
          </w:p>
          <w:p w14:paraId="2DB91D8E"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W zakresie zaopatrzenia w wodę:</w:t>
            </w:r>
          </w:p>
          <w:p w14:paraId="31AFA9FA"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1) ustala się:</w:t>
            </w:r>
          </w:p>
          <w:p w14:paraId="3B18AA0C"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a) </w:t>
            </w:r>
            <w:proofErr w:type="spellStart"/>
            <w:r w:rsidRPr="00902419">
              <w:rPr>
                <w:rFonts w:ascii="Titillium" w:eastAsia="Times New Roman" w:hAnsi="Titillium" w:cs="Times New Roman"/>
                <w:sz w:val="16"/>
                <w:szCs w:val="16"/>
              </w:rPr>
              <w:t>ogólnomiejską</w:t>
            </w:r>
            <w:proofErr w:type="spellEnd"/>
            <w:r w:rsidRPr="00902419">
              <w:rPr>
                <w:rFonts w:ascii="Titillium" w:eastAsia="Times New Roman" w:hAnsi="Titillium" w:cs="Times New Roman"/>
                <w:sz w:val="16"/>
                <w:szCs w:val="16"/>
              </w:rPr>
              <w:t xml:space="preserve"> sieć wodociągową jako podstawowy system zaopatrzenia w wodę,</w:t>
            </w:r>
          </w:p>
          <w:p w14:paraId="0BCDD684" w14:textId="03D652E3"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b) doprowadzenie wody z sieci wodociągowych w ulicach: 1KD-G ul. Poleskiej i Al. J. Piłsudskiego (poza granicami planu) oraz z innych istniejących i projektowanych miejskich sieci wodociągowych</w:t>
            </w:r>
            <w:r w:rsidR="005F6464">
              <w:rPr>
                <w:rFonts w:ascii="Titillium" w:eastAsia="Times New Roman" w:hAnsi="Titillium" w:cs="Times New Roman"/>
                <w:sz w:val="16"/>
                <w:szCs w:val="16"/>
              </w:rPr>
              <w:t xml:space="preserve"> </w:t>
            </w:r>
            <w:r w:rsidRPr="00902419">
              <w:rPr>
                <w:rFonts w:ascii="Titillium" w:eastAsia="Times New Roman" w:hAnsi="Titillium" w:cs="Times New Roman"/>
                <w:sz w:val="16"/>
                <w:szCs w:val="16"/>
              </w:rPr>
              <w:t>w sąsiednich ulicach;</w:t>
            </w:r>
          </w:p>
          <w:p w14:paraId="72AB4078"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2) dopuszcza się:</w:t>
            </w:r>
          </w:p>
          <w:p w14:paraId="2ED5367A"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a) zaopatrzenie w wodę z innych systemów wodociągowych spełniających warunki w zakresie zbiorowego zaopatrzenia w wodę,</w:t>
            </w:r>
          </w:p>
          <w:p w14:paraId="4497BBF7"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b) korzystanie z własnych ujęć wody.</w:t>
            </w:r>
          </w:p>
          <w:p w14:paraId="0C12BDD0" w14:textId="77777777" w:rsidR="005E408A" w:rsidRPr="00902419" w:rsidRDefault="005E408A" w:rsidP="005E408A">
            <w:pPr>
              <w:jc w:val="both"/>
              <w:rPr>
                <w:rFonts w:ascii="Titillium" w:eastAsia="Times New Roman" w:hAnsi="Titillium" w:cs="Times New Roman"/>
                <w:sz w:val="16"/>
                <w:szCs w:val="16"/>
              </w:rPr>
            </w:pPr>
          </w:p>
          <w:p w14:paraId="46088830"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W zakresie odprowadzenia ścieków komunalnych:</w:t>
            </w:r>
          </w:p>
          <w:p w14:paraId="505D790C"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1) ustala się:</w:t>
            </w:r>
          </w:p>
          <w:p w14:paraId="2CF99282"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a) </w:t>
            </w:r>
            <w:proofErr w:type="spellStart"/>
            <w:r w:rsidRPr="00902419">
              <w:rPr>
                <w:rFonts w:ascii="Titillium" w:eastAsia="Times New Roman" w:hAnsi="Titillium" w:cs="Times New Roman"/>
                <w:sz w:val="16"/>
                <w:szCs w:val="16"/>
              </w:rPr>
              <w:t>ogólnomiejską</w:t>
            </w:r>
            <w:proofErr w:type="spellEnd"/>
            <w:r w:rsidRPr="00902419">
              <w:rPr>
                <w:rFonts w:ascii="Titillium" w:eastAsia="Times New Roman" w:hAnsi="Titillium" w:cs="Times New Roman"/>
                <w:sz w:val="16"/>
                <w:szCs w:val="16"/>
              </w:rPr>
              <w:t xml:space="preserve"> sieć kanalizacji sanitarnej jako podstawowy system odprowadzenia ścieków komunalnych,</w:t>
            </w:r>
          </w:p>
          <w:p w14:paraId="7D765433"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b) odprowadzenie ścieków do kanałów sanitarnych w Al. J. Piłsudskiego (poza granicami planu) i 1KD-G ul. Poleskiej oraz do innych istniejących i projektowanych sieci kanalizacji sanitarnej w sąsiednich ulicach;</w:t>
            </w:r>
          </w:p>
          <w:p w14:paraId="3F89139A"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2) dopuszcza się odprowadzenie ścieków do innych systemów kanalizacji sanitarnej spełniających warunki w zakresie zbiorowego odprowadzania ścieków.</w:t>
            </w:r>
          </w:p>
          <w:p w14:paraId="08C1C427" w14:textId="77777777" w:rsidR="005E408A" w:rsidRPr="00902419" w:rsidRDefault="005E408A" w:rsidP="005E408A">
            <w:pPr>
              <w:jc w:val="both"/>
              <w:rPr>
                <w:rFonts w:ascii="Titillium" w:eastAsia="Times New Roman" w:hAnsi="Titillium" w:cs="Times New Roman"/>
                <w:sz w:val="16"/>
                <w:szCs w:val="16"/>
              </w:rPr>
            </w:pPr>
          </w:p>
          <w:p w14:paraId="0C8ED168"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W zakresie odprowadzenia wód opadowych i roztopowych:</w:t>
            </w:r>
          </w:p>
          <w:p w14:paraId="5E042FF6"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1) ustala się następujące odbiorniki wód opadowych i roztopowych:</w:t>
            </w:r>
          </w:p>
          <w:p w14:paraId="61B0DE83"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a) grunt, przy wykorzystaniu retencji wód,</w:t>
            </w:r>
          </w:p>
          <w:p w14:paraId="595521E1"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b) rzekę Białą zlokalizowana poza granicami planu, za pośrednictwem sieci kanalizacji deszczowej, drenażowej, cieków i rowów wodnych;</w:t>
            </w:r>
          </w:p>
          <w:p w14:paraId="320189DC"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2) dopuszcza się odprowadzenie wód opadowych i roztopowych:</w:t>
            </w:r>
          </w:p>
          <w:p w14:paraId="6068B3F7" w14:textId="57B07A60"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a) do kanałów deszczowych w 1KD-G ul. Poleskiej, 2KD-Z ul. Bohaterów Getta i Al. J. Piłsudskiego (poza granicami planu) oraz do innych istniejących i projektowanych kanałów deszczowych</w:t>
            </w:r>
            <w:r w:rsidR="005F6464">
              <w:rPr>
                <w:rFonts w:ascii="Titillium" w:eastAsia="Times New Roman" w:hAnsi="Titillium" w:cs="Times New Roman"/>
                <w:sz w:val="16"/>
                <w:szCs w:val="16"/>
              </w:rPr>
              <w:t xml:space="preserve"> </w:t>
            </w:r>
            <w:r w:rsidRPr="00902419">
              <w:rPr>
                <w:rFonts w:ascii="Titillium" w:eastAsia="Times New Roman" w:hAnsi="Titillium" w:cs="Times New Roman"/>
                <w:sz w:val="16"/>
                <w:szCs w:val="16"/>
              </w:rPr>
              <w:t>w sąsiednich ulicach,</w:t>
            </w:r>
          </w:p>
          <w:p w14:paraId="2BCCE7B8"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b) do lokalnych lub indywidualnych systemów odprowadzania wód opadowych.</w:t>
            </w:r>
          </w:p>
          <w:p w14:paraId="6EE24EEA" w14:textId="77777777" w:rsidR="005E408A" w:rsidRPr="00902419" w:rsidRDefault="005E408A" w:rsidP="005E408A">
            <w:pPr>
              <w:jc w:val="both"/>
              <w:rPr>
                <w:rFonts w:ascii="Titillium" w:eastAsia="Times New Roman" w:hAnsi="Titillium" w:cs="Times New Roman"/>
                <w:sz w:val="16"/>
                <w:szCs w:val="16"/>
              </w:rPr>
            </w:pPr>
          </w:p>
          <w:p w14:paraId="7AFA5560"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W zakresie zaopatrzenia w ciepło:</w:t>
            </w:r>
          </w:p>
          <w:p w14:paraId="70AA3324"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1) ustala się:</w:t>
            </w:r>
          </w:p>
          <w:p w14:paraId="4C78E23D"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a) </w:t>
            </w:r>
            <w:proofErr w:type="spellStart"/>
            <w:r w:rsidRPr="00902419">
              <w:rPr>
                <w:rFonts w:ascii="Titillium" w:eastAsia="Times New Roman" w:hAnsi="Titillium" w:cs="Times New Roman"/>
                <w:sz w:val="16"/>
                <w:szCs w:val="16"/>
              </w:rPr>
              <w:t>ogólnomiejskie</w:t>
            </w:r>
            <w:proofErr w:type="spellEnd"/>
            <w:r w:rsidRPr="00902419">
              <w:rPr>
                <w:rFonts w:ascii="Titillium" w:eastAsia="Times New Roman" w:hAnsi="Titillium" w:cs="Times New Roman"/>
                <w:sz w:val="16"/>
                <w:szCs w:val="16"/>
              </w:rPr>
              <w:t xml:space="preserve"> sieci ciepłownicze: wodną i parową jako podstawowy system zaopatrzenia w ciepło,</w:t>
            </w:r>
          </w:p>
          <w:p w14:paraId="2016ABEE" w14:textId="2988494A"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b) zaopatrzenie w ciepło w postaci wody gorącej z </w:t>
            </w:r>
            <w:proofErr w:type="spellStart"/>
            <w:r w:rsidRPr="00902419">
              <w:rPr>
                <w:rFonts w:ascii="Titillium" w:eastAsia="Times New Roman" w:hAnsi="Titillium" w:cs="Times New Roman"/>
                <w:sz w:val="16"/>
                <w:szCs w:val="16"/>
              </w:rPr>
              <w:t>ogólnomiejskich</w:t>
            </w:r>
            <w:proofErr w:type="spellEnd"/>
            <w:r w:rsidRPr="00902419">
              <w:rPr>
                <w:rFonts w:ascii="Titillium" w:eastAsia="Times New Roman" w:hAnsi="Titillium" w:cs="Times New Roman"/>
                <w:sz w:val="16"/>
                <w:szCs w:val="16"/>
              </w:rPr>
              <w:t xml:space="preserve"> sieci ciepłowniczych zlokalizowanych wzdłuż 1KD-G ul. Poleskiej i Al. J. Piłsudskiego (poza granicami planu) oraz z innych istniejących</w:t>
            </w:r>
            <w:r w:rsidR="005F6464">
              <w:rPr>
                <w:rFonts w:ascii="Titillium" w:eastAsia="Times New Roman" w:hAnsi="Titillium" w:cs="Times New Roman"/>
                <w:sz w:val="16"/>
                <w:szCs w:val="16"/>
              </w:rPr>
              <w:t xml:space="preserve"> </w:t>
            </w:r>
            <w:r w:rsidRPr="00902419">
              <w:rPr>
                <w:rFonts w:ascii="Titillium" w:eastAsia="Times New Roman" w:hAnsi="Titillium" w:cs="Times New Roman"/>
                <w:sz w:val="16"/>
                <w:szCs w:val="16"/>
              </w:rPr>
              <w:t>i projektowanych sieci ciepłowniczych w sąsiednich ulicach,</w:t>
            </w:r>
          </w:p>
          <w:p w14:paraId="20CE87BB"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c) doprowadzenie pary z </w:t>
            </w:r>
            <w:proofErr w:type="spellStart"/>
            <w:r w:rsidRPr="00902419">
              <w:rPr>
                <w:rFonts w:ascii="Titillium" w:eastAsia="Times New Roman" w:hAnsi="Titillium" w:cs="Times New Roman"/>
                <w:sz w:val="16"/>
                <w:szCs w:val="16"/>
              </w:rPr>
              <w:t>ogólnomiejskiej</w:t>
            </w:r>
            <w:proofErr w:type="spellEnd"/>
            <w:r w:rsidRPr="00902419">
              <w:rPr>
                <w:rFonts w:ascii="Titillium" w:eastAsia="Times New Roman" w:hAnsi="Titillium" w:cs="Times New Roman"/>
                <w:sz w:val="16"/>
                <w:szCs w:val="16"/>
              </w:rPr>
              <w:t xml:space="preserve"> sieci parowej zlokalizowane wzdłuż rzeki Białej (poza zakresem planu);</w:t>
            </w:r>
          </w:p>
          <w:p w14:paraId="2E39C23D"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2) dopuszcza się:</w:t>
            </w:r>
          </w:p>
          <w:p w14:paraId="78DD6590"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a) stosowanie lokalnych lub indywidualnych źródeł ciepła wytwarzanego w procesach:</w:t>
            </w:r>
          </w:p>
          <w:p w14:paraId="608E497C"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uzyskiwania energii z promieniowania słonecznego (solarnej), gruntu (geotermalnej), wody (hydrotermalnej) lub zawartej w innych nośnikach,</w:t>
            </w:r>
          </w:p>
          <w:p w14:paraId="4DA603C5"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wykorzystania energii elektrycznej,</w:t>
            </w:r>
          </w:p>
          <w:p w14:paraId="74EB81B7"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 spalania gazów opałowych, olejów opałowych </w:t>
            </w:r>
            <w:proofErr w:type="spellStart"/>
            <w:r w:rsidRPr="00902419">
              <w:rPr>
                <w:rFonts w:ascii="Titillium" w:eastAsia="Times New Roman" w:hAnsi="Titillium" w:cs="Times New Roman"/>
                <w:sz w:val="16"/>
                <w:szCs w:val="16"/>
              </w:rPr>
              <w:t>niskosiarkowych</w:t>
            </w:r>
            <w:proofErr w:type="spellEnd"/>
            <w:r w:rsidRPr="00902419">
              <w:rPr>
                <w:rFonts w:ascii="Titillium" w:eastAsia="Times New Roman" w:hAnsi="Titillium" w:cs="Times New Roman"/>
                <w:sz w:val="16"/>
                <w:szCs w:val="16"/>
              </w:rPr>
              <w:t>,</w:t>
            </w:r>
          </w:p>
          <w:p w14:paraId="09DC51EE"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b) korzystanie z innych </w:t>
            </w:r>
            <w:proofErr w:type="spellStart"/>
            <w:r w:rsidRPr="00902419">
              <w:rPr>
                <w:rFonts w:ascii="Titillium" w:eastAsia="Times New Roman" w:hAnsi="Titillium" w:cs="Times New Roman"/>
                <w:sz w:val="16"/>
                <w:szCs w:val="16"/>
              </w:rPr>
              <w:t>ogólnomiejskich</w:t>
            </w:r>
            <w:proofErr w:type="spellEnd"/>
            <w:r w:rsidRPr="00902419">
              <w:rPr>
                <w:rFonts w:ascii="Titillium" w:eastAsia="Times New Roman" w:hAnsi="Titillium" w:cs="Times New Roman"/>
                <w:sz w:val="16"/>
                <w:szCs w:val="16"/>
              </w:rPr>
              <w:t xml:space="preserve"> systemów energetycznych i czynników służących do przesyłania energii;</w:t>
            </w:r>
          </w:p>
          <w:p w14:paraId="643FC218"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3) zakazuje się lokalizacji:</w:t>
            </w:r>
          </w:p>
          <w:p w14:paraId="7D05FA1E"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lastRenderedPageBreak/>
              <w:t>a) wolno stojących, nadziemnych zbiorników na gaz i paliwa płynne,</w:t>
            </w:r>
          </w:p>
          <w:p w14:paraId="69594436"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b) nowych źródeł ciepła spalających paliwa stałe</w:t>
            </w:r>
          </w:p>
          <w:p w14:paraId="209ABA70"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W zakresie zaopatrzenia w paliwa gazowe:</w:t>
            </w:r>
          </w:p>
          <w:p w14:paraId="6AEF26F6"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1) ustala się:</w:t>
            </w:r>
          </w:p>
          <w:p w14:paraId="73B6A81F"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a) </w:t>
            </w:r>
            <w:proofErr w:type="spellStart"/>
            <w:r w:rsidRPr="00902419">
              <w:rPr>
                <w:rFonts w:ascii="Titillium" w:eastAsia="Times New Roman" w:hAnsi="Titillium" w:cs="Times New Roman"/>
                <w:sz w:val="16"/>
                <w:szCs w:val="16"/>
              </w:rPr>
              <w:t>ogólnomiejskie</w:t>
            </w:r>
            <w:proofErr w:type="spellEnd"/>
            <w:r w:rsidRPr="00902419">
              <w:rPr>
                <w:rFonts w:ascii="Titillium" w:eastAsia="Times New Roman" w:hAnsi="Titillium" w:cs="Times New Roman"/>
                <w:sz w:val="16"/>
                <w:szCs w:val="16"/>
              </w:rPr>
              <w:t xml:space="preserve"> sieci gazowe jako podstawowy system zaopatrzenia w paliwa gazowe,</w:t>
            </w:r>
          </w:p>
          <w:p w14:paraId="415C97BC"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b) doprowadzenie gazu opałowego z istniejącej </w:t>
            </w:r>
            <w:proofErr w:type="spellStart"/>
            <w:r w:rsidRPr="00902419">
              <w:rPr>
                <w:rFonts w:ascii="Titillium" w:eastAsia="Times New Roman" w:hAnsi="Titillium" w:cs="Times New Roman"/>
                <w:sz w:val="16"/>
                <w:szCs w:val="16"/>
              </w:rPr>
              <w:t>ogólnomiejskiej</w:t>
            </w:r>
            <w:proofErr w:type="spellEnd"/>
            <w:r w:rsidRPr="00902419">
              <w:rPr>
                <w:rFonts w:ascii="Titillium" w:eastAsia="Times New Roman" w:hAnsi="Titillium" w:cs="Times New Roman"/>
                <w:sz w:val="16"/>
                <w:szCs w:val="16"/>
              </w:rPr>
              <w:t xml:space="preserve"> sieci gazowej niskiego ciśnienia w 1KD-G ul. Poleskiej i Al. J. Piłsudskiego (poza granicami planu) oraz z innych istniejących i projektowanych sieci gazowych średniego i niskiego ciśnienia w sąsiednich ulicach;</w:t>
            </w:r>
          </w:p>
          <w:p w14:paraId="1835E57C"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2) dopuszcza się:</w:t>
            </w:r>
          </w:p>
          <w:p w14:paraId="66B185E2"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a) stosowanie gazów opałowych z uwzględnieniem § 36 pkt 3 lit. a,</w:t>
            </w:r>
          </w:p>
          <w:p w14:paraId="436A2603" w14:textId="77777777" w:rsidR="005E408A"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b) doprowadzenie gazu z innych systemów, spełniających warunki w zakresie zbiorowego zaopatrzenia w gaz określone w przepisach prawa energetycznego.</w:t>
            </w:r>
          </w:p>
          <w:p w14:paraId="312D4E35" w14:textId="77777777" w:rsidR="005F6464" w:rsidRPr="00902419" w:rsidRDefault="005F6464" w:rsidP="005E408A">
            <w:pPr>
              <w:jc w:val="both"/>
              <w:rPr>
                <w:rFonts w:ascii="Titillium" w:eastAsia="Times New Roman" w:hAnsi="Titillium" w:cs="Times New Roman"/>
                <w:sz w:val="16"/>
                <w:szCs w:val="16"/>
              </w:rPr>
            </w:pPr>
          </w:p>
          <w:p w14:paraId="5A41250B"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W zakresie zaopatrzenia w energię elektryczną:</w:t>
            </w:r>
          </w:p>
          <w:p w14:paraId="1036FCAD"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1) ustala się:</w:t>
            </w:r>
          </w:p>
          <w:p w14:paraId="28883EFB"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a) zasilanie w energię elektryczną – z istniejących stacji transformatorowo-rozdzielczych 110/15 </w:t>
            </w:r>
            <w:proofErr w:type="spellStart"/>
            <w:r w:rsidRPr="00902419">
              <w:rPr>
                <w:rFonts w:ascii="Titillium" w:eastAsia="Times New Roman" w:hAnsi="Titillium" w:cs="Times New Roman"/>
                <w:sz w:val="16"/>
                <w:szCs w:val="16"/>
              </w:rPr>
              <w:t>kV</w:t>
            </w:r>
            <w:proofErr w:type="spellEnd"/>
            <w:r w:rsidRPr="00902419">
              <w:rPr>
                <w:rFonts w:ascii="Titillium" w:eastAsia="Times New Roman" w:hAnsi="Titillium" w:cs="Times New Roman"/>
                <w:sz w:val="16"/>
                <w:szCs w:val="16"/>
              </w:rPr>
              <w:t xml:space="preserve"> RPZ-3, 110/15 </w:t>
            </w:r>
            <w:proofErr w:type="spellStart"/>
            <w:r w:rsidRPr="00902419">
              <w:rPr>
                <w:rFonts w:ascii="Titillium" w:eastAsia="Times New Roman" w:hAnsi="Titillium" w:cs="Times New Roman"/>
                <w:sz w:val="16"/>
                <w:szCs w:val="16"/>
              </w:rPr>
              <w:t>kV</w:t>
            </w:r>
            <w:proofErr w:type="spellEnd"/>
            <w:r w:rsidRPr="00902419">
              <w:rPr>
                <w:rFonts w:ascii="Titillium" w:eastAsia="Times New Roman" w:hAnsi="Titillium" w:cs="Times New Roman"/>
                <w:sz w:val="16"/>
                <w:szCs w:val="16"/>
              </w:rPr>
              <w:t xml:space="preserve"> RPZ-ECII i rozdzielni średniego napięcia RS-7 głównego systemu zasilania miasta za pośrednictwem istniejących i projektowanych linii kablowych 15 </w:t>
            </w:r>
            <w:proofErr w:type="spellStart"/>
            <w:r w:rsidRPr="00902419">
              <w:rPr>
                <w:rFonts w:ascii="Titillium" w:eastAsia="Times New Roman" w:hAnsi="Titillium" w:cs="Times New Roman"/>
                <w:sz w:val="16"/>
                <w:szCs w:val="16"/>
              </w:rPr>
              <w:t>kV</w:t>
            </w:r>
            <w:proofErr w:type="spellEnd"/>
            <w:r w:rsidRPr="00902419">
              <w:rPr>
                <w:rFonts w:ascii="Titillium" w:eastAsia="Times New Roman" w:hAnsi="Titillium" w:cs="Times New Roman"/>
                <w:sz w:val="16"/>
                <w:szCs w:val="16"/>
              </w:rPr>
              <w:t>,</w:t>
            </w:r>
          </w:p>
          <w:p w14:paraId="0DE4FDA0"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b) dostawę energii elektrycznej do odbiorców – z istniejących stacji transformatorowych 15/04 </w:t>
            </w:r>
            <w:proofErr w:type="spellStart"/>
            <w:r w:rsidRPr="00902419">
              <w:rPr>
                <w:rFonts w:ascii="Titillium" w:eastAsia="Times New Roman" w:hAnsi="Titillium" w:cs="Times New Roman"/>
                <w:sz w:val="16"/>
                <w:szCs w:val="16"/>
              </w:rPr>
              <w:t>kV</w:t>
            </w:r>
            <w:proofErr w:type="spellEnd"/>
            <w:r w:rsidRPr="00902419">
              <w:rPr>
                <w:rFonts w:ascii="Titillium" w:eastAsia="Times New Roman" w:hAnsi="Titillium" w:cs="Times New Roman"/>
                <w:sz w:val="16"/>
                <w:szCs w:val="16"/>
              </w:rPr>
              <w:t xml:space="preserve"> wnętrzowych Nr 10, 841, 649, 1107, 281, 83, 299 zlokalizowanych na terenie opracowania, stacji transformatorowych 15/04 </w:t>
            </w:r>
            <w:proofErr w:type="spellStart"/>
            <w:r w:rsidRPr="00902419">
              <w:rPr>
                <w:rFonts w:ascii="Titillium" w:eastAsia="Times New Roman" w:hAnsi="Titillium" w:cs="Times New Roman"/>
                <w:sz w:val="16"/>
                <w:szCs w:val="16"/>
              </w:rPr>
              <w:t>kV</w:t>
            </w:r>
            <w:proofErr w:type="spellEnd"/>
            <w:r w:rsidRPr="00902419">
              <w:rPr>
                <w:rFonts w:ascii="Titillium" w:eastAsia="Times New Roman" w:hAnsi="Titillium" w:cs="Times New Roman"/>
                <w:sz w:val="16"/>
                <w:szCs w:val="16"/>
              </w:rPr>
              <w:t xml:space="preserve"> zlokalizowanych w bezpośrednim sąsiedztwie terenu opracowania oraz z projektowanych stacji transformatorowych 15/04 </w:t>
            </w:r>
            <w:proofErr w:type="spellStart"/>
            <w:r w:rsidRPr="00902419">
              <w:rPr>
                <w:rFonts w:ascii="Titillium" w:eastAsia="Times New Roman" w:hAnsi="Titillium" w:cs="Times New Roman"/>
                <w:sz w:val="16"/>
                <w:szCs w:val="16"/>
              </w:rPr>
              <w:t>kV</w:t>
            </w:r>
            <w:proofErr w:type="spellEnd"/>
            <w:r w:rsidRPr="00902419">
              <w:rPr>
                <w:rFonts w:ascii="Titillium" w:eastAsia="Times New Roman" w:hAnsi="Titillium" w:cs="Times New Roman"/>
                <w:sz w:val="16"/>
                <w:szCs w:val="16"/>
              </w:rPr>
              <w:t>,</w:t>
            </w:r>
          </w:p>
          <w:p w14:paraId="24E29FD2"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c) zasilanie projektowanych stacji transformatorowych 15/04 </w:t>
            </w:r>
            <w:proofErr w:type="spellStart"/>
            <w:r w:rsidRPr="00902419">
              <w:rPr>
                <w:rFonts w:ascii="Titillium" w:eastAsia="Times New Roman" w:hAnsi="Titillium" w:cs="Times New Roman"/>
                <w:sz w:val="16"/>
                <w:szCs w:val="16"/>
              </w:rPr>
              <w:t>kV</w:t>
            </w:r>
            <w:proofErr w:type="spellEnd"/>
            <w:r w:rsidRPr="00902419">
              <w:rPr>
                <w:rFonts w:ascii="Titillium" w:eastAsia="Times New Roman" w:hAnsi="Titillium" w:cs="Times New Roman"/>
                <w:sz w:val="16"/>
                <w:szCs w:val="16"/>
              </w:rPr>
              <w:t xml:space="preserve"> – za pośrednictwem projektowanych linii kablowych 15 </w:t>
            </w:r>
            <w:proofErr w:type="spellStart"/>
            <w:r w:rsidRPr="00902419">
              <w:rPr>
                <w:rFonts w:ascii="Titillium" w:eastAsia="Times New Roman" w:hAnsi="Titillium" w:cs="Times New Roman"/>
                <w:sz w:val="16"/>
                <w:szCs w:val="16"/>
              </w:rPr>
              <w:t>kV</w:t>
            </w:r>
            <w:proofErr w:type="spellEnd"/>
            <w:r w:rsidRPr="00902419">
              <w:rPr>
                <w:rFonts w:ascii="Titillium" w:eastAsia="Times New Roman" w:hAnsi="Titillium" w:cs="Times New Roman"/>
                <w:sz w:val="16"/>
                <w:szCs w:val="16"/>
              </w:rPr>
              <w:t xml:space="preserve"> wyprowadzonych od istniejących i projektowanych linii kablowych 15 </w:t>
            </w:r>
            <w:proofErr w:type="spellStart"/>
            <w:r w:rsidRPr="00902419">
              <w:rPr>
                <w:rFonts w:ascii="Titillium" w:eastAsia="Times New Roman" w:hAnsi="Titillium" w:cs="Times New Roman"/>
                <w:sz w:val="16"/>
                <w:szCs w:val="16"/>
              </w:rPr>
              <w:t>kV</w:t>
            </w:r>
            <w:proofErr w:type="spellEnd"/>
            <w:r w:rsidRPr="00902419">
              <w:rPr>
                <w:rFonts w:ascii="Titillium" w:eastAsia="Times New Roman" w:hAnsi="Titillium" w:cs="Times New Roman"/>
                <w:sz w:val="16"/>
                <w:szCs w:val="16"/>
              </w:rPr>
              <w:t xml:space="preserve"> i stacji transformatorowych 15/04 </w:t>
            </w:r>
            <w:proofErr w:type="spellStart"/>
            <w:r w:rsidRPr="00902419">
              <w:rPr>
                <w:rFonts w:ascii="Titillium" w:eastAsia="Times New Roman" w:hAnsi="Titillium" w:cs="Times New Roman"/>
                <w:sz w:val="16"/>
                <w:szCs w:val="16"/>
              </w:rPr>
              <w:t>kV</w:t>
            </w:r>
            <w:proofErr w:type="spellEnd"/>
            <w:r w:rsidRPr="00902419">
              <w:rPr>
                <w:rFonts w:ascii="Titillium" w:eastAsia="Times New Roman" w:hAnsi="Titillium" w:cs="Times New Roman"/>
                <w:sz w:val="16"/>
                <w:szCs w:val="16"/>
              </w:rPr>
              <w:t xml:space="preserve"> układu sieci rozdzielczej SN osiedla,</w:t>
            </w:r>
          </w:p>
          <w:p w14:paraId="2519F3B6"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d) dostawę energii elektrycznej do odbiorców – ze stacji transformatorowych 15/04 </w:t>
            </w:r>
            <w:proofErr w:type="spellStart"/>
            <w:r w:rsidRPr="00902419">
              <w:rPr>
                <w:rFonts w:ascii="Titillium" w:eastAsia="Times New Roman" w:hAnsi="Titillium" w:cs="Times New Roman"/>
                <w:sz w:val="16"/>
                <w:szCs w:val="16"/>
              </w:rPr>
              <w:t>kV</w:t>
            </w:r>
            <w:proofErr w:type="spellEnd"/>
            <w:r w:rsidRPr="00902419">
              <w:rPr>
                <w:rFonts w:ascii="Titillium" w:eastAsia="Times New Roman" w:hAnsi="Titillium" w:cs="Times New Roman"/>
                <w:sz w:val="16"/>
                <w:szCs w:val="16"/>
              </w:rPr>
              <w:t xml:space="preserve"> istniejących i projektowanych za pośrednictwem istniejących oraz projektowanych linii kablowych niskiego napięcia;</w:t>
            </w:r>
          </w:p>
          <w:p w14:paraId="6FA75E56"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2) dopuszcza się:</w:t>
            </w:r>
          </w:p>
          <w:p w14:paraId="02DB058D"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a) przebudowę bądź likwidację istniejących stacji transformatorowych 15/04 </w:t>
            </w:r>
            <w:proofErr w:type="spellStart"/>
            <w:r w:rsidRPr="00902419">
              <w:rPr>
                <w:rFonts w:ascii="Titillium" w:eastAsia="Times New Roman" w:hAnsi="Titillium" w:cs="Times New Roman"/>
                <w:sz w:val="16"/>
                <w:szCs w:val="16"/>
              </w:rPr>
              <w:t>kV</w:t>
            </w:r>
            <w:proofErr w:type="spellEnd"/>
            <w:r w:rsidRPr="00902419">
              <w:rPr>
                <w:rFonts w:ascii="Titillium" w:eastAsia="Times New Roman" w:hAnsi="Titillium" w:cs="Times New Roman"/>
                <w:sz w:val="16"/>
                <w:szCs w:val="16"/>
              </w:rPr>
              <w:t xml:space="preserve"> oraz linii średniego i niskiego napięcia kolidujących z planowanym zagospodarowaniem terenu i zastąpienie ich stacjami i liniami kablowymi projektowanymi,</w:t>
            </w:r>
          </w:p>
          <w:p w14:paraId="2770B2E3"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b) zmianę lokalizacji projektowanych stacji transformatorowych 15/04 </w:t>
            </w:r>
            <w:proofErr w:type="spellStart"/>
            <w:r w:rsidRPr="00902419">
              <w:rPr>
                <w:rFonts w:ascii="Titillium" w:eastAsia="Times New Roman" w:hAnsi="Titillium" w:cs="Times New Roman"/>
                <w:sz w:val="16"/>
                <w:szCs w:val="16"/>
              </w:rPr>
              <w:t>kV</w:t>
            </w:r>
            <w:proofErr w:type="spellEnd"/>
            <w:r w:rsidRPr="00902419">
              <w:rPr>
                <w:rFonts w:ascii="Titillium" w:eastAsia="Times New Roman" w:hAnsi="Titillium" w:cs="Times New Roman"/>
                <w:sz w:val="16"/>
                <w:szCs w:val="16"/>
              </w:rPr>
              <w:t xml:space="preserve"> i projektowanych linii kablowych w granicach określonego i bezpośrednio sąsiadującego terenu (przedstawiona na rysunku</w:t>
            </w:r>
          </w:p>
          <w:p w14:paraId="298B7EF1"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planu ich lokalizacja ma charakter orientacyjny),</w:t>
            </w:r>
          </w:p>
          <w:p w14:paraId="6791B12D"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c) zasilanie w energią elektryczną wytwarzaną z odnawialnych źródeł energii – z zastrzeżeniem § 7 ust. 3.</w:t>
            </w:r>
          </w:p>
          <w:p w14:paraId="5B46EC14" w14:textId="77777777" w:rsidR="005E408A" w:rsidRPr="00902419" w:rsidRDefault="005E408A" w:rsidP="005E408A">
            <w:pPr>
              <w:jc w:val="both"/>
              <w:rPr>
                <w:rFonts w:ascii="Titillium" w:eastAsia="Times New Roman" w:hAnsi="Titillium" w:cs="Times New Roman"/>
                <w:sz w:val="16"/>
                <w:szCs w:val="16"/>
              </w:rPr>
            </w:pPr>
          </w:p>
          <w:p w14:paraId="4ADBA836"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W zakresie obsługi telekomunikacyjnej:</w:t>
            </w:r>
          </w:p>
          <w:p w14:paraId="67D0FD80"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1) ustala się obsługę terenu w zakresie:</w:t>
            </w:r>
          </w:p>
          <w:p w14:paraId="579A0831"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a) urządzeń telekomunikacyjnych stacjonarnych – za pośrednictwem istniejących i projektowanych sieci kanalizacji telefonicznej magistralnej oraz kanalizacji i kabli doziemnych rozdzielczych,</w:t>
            </w:r>
          </w:p>
          <w:p w14:paraId="4B3920D5"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b) urządzeń teletechnicznych (</w:t>
            </w:r>
            <w:proofErr w:type="spellStart"/>
            <w:r w:rsidRPr="00902419">
              <w:rPr>
                <w:rFonts w:ascii="Titillium" w:eastAsia="Times New Roman" w:hAnsi="Titillium" w:cs="Times New Roman"/>
                <w:sz w:val="16"/>
                <w:szCs w:val="16"/>
              </w:rPr>
              <w:t>internet</w:t>
            </w:r>
            <w:proofErr w:type="spellEnd"/>
            <w:r w:rsidRPr="00902419">
              <w:rPr>
                <w:rFonts w:ascii="Titillium" w:eastAsia="Times New Roman" w:hAnsi="Titillium" w:cs="Times New Roman"/>
                <w:sz w:val="16"/>
                <w:szCs w:val="16"/>
              </w:rPr>
              <w:t>, telewizja kablowa itp.) - za pośrednictwem sieci kanalizacji i kabli doziemnych,</w:t>
            </w:r>
          </w:p>
          <w:p w14:paraId="69AD6DD5"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c) łączności bezprzewodowej telefonii i </w:t>
            </w:r>
            <w:proofErr w:type="spellStart"/>
            <w:r w:rsidRPr="00902419">
              <w:rPr>
                <w:rFonts w:ascii="Titillium" w:eastAsia="Times New Roman" w:hAnsi="Titillium" w:cs="Times New Roman"/>
                <w:sz w:val="16"/>
                <w:szCs w:val="16"/>
              </w:rPr>
              <w:t>internetu</w:t>
            </w:r>
            <w:proofErr w:type="spellEnd"/>
            <w:r w:rsidRPr="00902419">
              <w:rPr>
                <w:rFonts w:ascii="Titillium" w:eastAsia="Times New Roman" w:hAnsi="Titillium" w:cs="Times New Roman"/>
                <w:sz w:val="16"/>
                <w:szCs w:val="16"/>
              </w:rPr>
              <w:t xml:space="preserve"> – z istniejących stacji bazowych telefonii cyfrowej zlokalizowanych poza terenem planu oraz projektowanych stacji bazowych telefonii cyfrowej</w:t>
            </w:r>
          </w:p>
          <w:p w14:paraId="3D5B7825"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i internetowych lokalizowanych na budynkach;</w:t>
            </w:r>
          </w:p>
          <w:p w14:paraId="791CEF44"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2) dopuszcza się lokalizację urządzeń infrastruktury telekomunikacyjnej z wyjątkiem masztów i wież:</w:t>
            </w:r>
          </w:p>
          <w:p w14:paraId="6613FD03" w14:textId="77777777"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a) wolno stojących (tj. nie umieszczanych na budynkach),</w:t>
            </w:r>
          </w:p>
          <w:p w14:paraId="4F41A677" w14:textId="07B8B454" w:rsidR="005E408A" w:rsidRPr="00902419" w:rsidRDefault="005E408A" w:rsidP="00033885">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b) umieszczanych na budynkach położonych bezpośrednio w pierzei 2KD-Z ul. Bohaterów Getta, 6KD-L ul. Włókienniczej, 7KD-D ul. Czystej oraz Al. J. Piłsudskiego (poza granicami planu).</w:t>
            </w:r>
          </w:p>
        </w:tc>
      </w:tr>
      <w:tr w:rsidR="005E408A" w:rsidRPr="00D63FC3" w14:paraId="0F1FF706" w14:textId="77777777" w:rsidTr="00A96F60">
        <w:tblPrEx>
          <w:tblCellMar>
            <w:top w:w="47" w:type="dxa"/>
            <w:right w:w="56" w:type="dxa"/>
          </w:tblCellMar>
        </w:tblPrEx>
        <w:trPr>
          <w:trHeight w:val="529"/>
        </w:trPr>
        <w:tc>
          <w:tcPr>
            <w:tcW w:w="2808"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0DCCFE49" w14:textId="77777777" w:rsidR="005E408A" w:rsidRPr="00D63FC3" w:rsidRDefault="005E408A" w:rsidP="005E408A">
            <w:pPr>
              <w:rPr>
                <w:rFonts w:ascii="Titillium" w:hAnsi="Titillium"/>
                <w:sz w:val="16"/>
                <w:szCs w:val="16"/>
              </w:rPr>
            </w:pPr>
            <w:r w:rsidRPr="00D63FC3">
              <w:rPr>
                <w:rFonts w:ascii="Titillium" w:eastAsia="Times New Roman" w:hAnsi="Titillium" w:cs="Times New Roman"/>
                <w:sz w:val="16"/>
                <w:szCs w:val="16"/>
              </w:rPr>
              <w:lastRenderedPageBreak/>
              <w:t xml:space="preserve">Ustalenia obowiązującego miejscowego planu zagospodarowania </w:t>
            </w:r>
          </w:p>
          <w:p w14:paraId="0C43F071" w14:textId="2C4013E5" w:rsidR="005E408A" w:rsidRPr="00D63FC3" w:rsidRDefault="005E408A" w:rsidP="005E408A">
            <w:pPr>
              <w:ind w:right="214"/>
              <w:rPr>
                <w:rFonts w:ascii="Titillium" w:hAnsi="Titillium"/>
                <w:sz w:val="12"/>
                <w:szCs w:val="12"/>
              </w:rPr>
            </w:pPr>
            <w:r w:rsidRPr="00D63FC3">
              <w:rPr>
                <w:rFonts w:ascii="Titillium" w:eastAsia="Times New Roman" w:hAnsi="Titillium" w:cs="Times New Roman"/>
                <w:sz w:val="16"/>
                <w:szCs w:val="16"/>
              </w:rPr>
              <w:t>przestrzennego dla działek lub ich fragmentów, znajdujących się w odległości do 100 m od granicy terenu objętego przedsięwzięciem deweloperskim lub zadaniem inwestycyjnym</w:t>
            </w:r>
            <w:r w:rsidRPr="00D63FC3">
              <w:rPr>
                <w:rFonts w:ascii="Titillium" w:eastAsia="Times New Roman" w:hAnsi="Titillium" w:cs="Times New Roman"/>
                <w:sz w:val="12"/>
                <w:szCs w:val="12"/>
              </w:rPr>
              <w:t>5)</w:t>
            </w:r>
          </w:p>
        </w:tc>
        <w:tc>
          <w:tcPr>
            <w:tcW w:w="2040" w:type="dxa"/>
            <w:tcBorders>
              <w:top w:val="single" w:sz="4" w:space="0" w:color="000000"/>
              <w:left w:val="single" w:sz="4" w:space="0" w:color="000000"/>
              <w:bottom w:val="single" w:sz="4" w:space="0" w:color="000000"/>
              <w:right w:val="single" w:sz="4" w:space="0" w:color="000000"/>
            </w:tcBorders>
            <w:vAlign w:val="center"/>
          </w:tcPr>
          <w:p w14:paraId="256BE230" w14:textId="77777777" w:rsidR="005E408A" w:rsidRPr="00902419" w:rsidRDefault="005E408A" w:rsidP="005E408A">
            <w:pPr>
              <w:ind w:left="2"/>
              <w:rPr>
                <w:rFonts w:ascii="Titillium" w:hAnsi="Titillium"/>
                <w:sz w:val="16"/>
                <w:szCs w:val="16"/>
              </w:rPr>
            </w:pPr>
            <w:r w:rsidRPr="00902419">
              <w:rPr>
                <w:rFonts w:ascii="Titillium" w:eastAsia="Times New Roman" w:hAnsi="Titillium" w:cs="Times New Roman"/>
                <w:sz w:val="16"/>
                <w:szCs w:val="16"/>
              </w:rPr>
              <w:t xml:space="preserve">Przeznaczenie terenu </w:t>
            </w:r>
          </w:p>
        </w:tc>
        <w:tc>
          <w:tcPr>
            <w:tcW w:w="4800" w:type="dxa"/>
            <w:tcBorders>
              <w:top w:val="single" w:sz="4" w:space="0" w:color="000000"/>
              <w:left w:val="single" w:sz="4" w:space="0" w:color="000000"/>
              <w:bottom w:val="single" w:sz="4" w:space="0" w:color="000000"/>
              <w:right w:val="single" w:sz="4" w:space="0" w:color="000000"/>
            </w:tcBorders>
            <w:vAlign w:val="center"/>
          </w:tcPr>
          <w:p w14:paraId="64D88CF2" w14:textId="45891FEB" w:rsidR="005E408A" w:rsidRPr="00902419" w:rsidRDefault="001F6721" w:rsidP="005E408A">
            <w:pPr>
              <w:jc w:val="both"/>
              <w:rPr>
                <w:rFonts w:ascii="Titillium" w:hAnsi="Titillium"/>
                <w:sz w:val="16"/>
                <w:szCs w:val="16"/>
              </w:rPr>
            </w:pPr>
            <w:r>
              <w:rPr>
                <w:rFonts w:ascii="Titillium" w:hAnsi="Titillium"/>
                <w:sz w:val="16"/>
                <w:szCs w:val="16"/>
              </w:rPr>
              <w:t xml:space="preserve">Zgodnie z </w:t>
            </w:r>
            <w:r w:rsidR="005E408A" w:rsidRPr="00902419">
              <w:rPr>
                <w:rFonts w:ascii="Titillium" w:hAnsi="Titillium"/>
                <w:sz w:val="16"/>
                <w:szCs w:val="16"/>
              </w:rPr>
              <w:t>UCHWAŁ</w:t>
            </w:r>
            <w:r>
              <w:rPr>
                <w:rFonts w:ascii="Titillium" w:hAnsi="Titillium"/>
                <w:sz w:val="16"/>
                <w:szCs w:val="16"/>
              </w:rPr>
              <w:t>Ą</w:t>
            </w:r>
            <w:r w:rsidR="005E408A" w:rsidRPr="00902419">
              <w:rPr>
                <w:rFonts w:ascii="Titillium" w:hAnsi="Titillium"/>
                <w:sz w:val="16"/>
                <w:szCs w:val="16"/>
              </w:rPr>
              <w:t xml:space="preserve"> NR XLII/643/17 RADY MIASTA BIAŁYSTOK z dnia 30 października 2017r. w sprawie miejscowego planu zagospodarowania  przestrzennego części osiedla Centrum w Białymstoku (rejon Al. J. Piłsudskiego i ul. Czystej) </w:t>
            </w:r>
          </w:p>
          <w:p w14:paraId="62A40763" w14:textId="77777777" w:rsidR="005E408A" w:rsidRPr="00902419" w:rsidRDefault="005E408A" w:rsidP="005E408A">
            <w:pPr>
              <w:jc w:val="both"/>
              <w:rPr>
                <w:rFonts w:ascii="Titillium" w:hAnsi="Titillium"/>
                <w:sz w:val="16"/>
                <w:szCs w:val="16"/>
              </w:rPr>
            </w:pPr>
            <w:r w:rsidRPr="00902419">
              <w:rPr>
                <w:rFonts w:ascii="Titillium" w:hAnsi="Titillium"/>
                <w:sz w:val="16"/>
                <w:szCs w:val="16"/>
              </w:rPr>
              <w:t>- tereny 6.1MW, U; tereny 6.2MW, U; tereny 8MW, U; tereny 3MW, U - przeznacza się pod zabudowę mieszkaniową wielorodzinną oraz usługową wraz z obiektami i urządzeniami towarzyszącymi oraz zielenią urządzoną</w:t>
            </w:r>
          </w:p>
          <w:p w14:paraId="49BC5B3F" w14:textId="77777777" w:rsidR="005E408A" w:rsidRPr="00902419" w:rsidRDefault="005E408A" w:rsidP="005E408A">
            <w:pPr>
              <w:jc w:val="both"/>
              <w:rPr>
                <w:rFonts w:ascii="Titillium" w:hAnsi="Titillium"/>
                <w:sz w:val="16"/>
                <w:szCs w:val="16"/>
              </w:rPr>
            </w:pPr>
            <w:r w:rsidRPr="00902419">
              <w:rPr>
                <w:rFonts w:ascii="Titillium" w:hAnsi="Titillium"/>
                <w:sz w:val="16"/>
                <w:szCs w:val="16"/>
              </w:rPr>
              <w:t>- tereny 2U oraz tereny 9U - przeznacza się pod zabudowę usługową wraz z obiektami i urządzeniami towarzyszącymi oraz zielenią urządzoną</w:t>
            </w:r>
          </w:p>
          <w:p w14:paraId="5A056A82" w14:textId="77777777" w:rsidR="005E408A" w:rsidRPr="00902419" w:rsidRDefault="005E408A" w:rsidP="005E408A">
            <w:pPr>
              <w:jc w:val="both"/>
              <w:rPr>
                <w:rFonts w:ascii="Titillium" w:hAnsi="Titillium"/>
                <w:sz w:val="16"/>
                <w:szCs w:val="16"/>
              </w:rPr>
            </w:pPr>
            <w:r w:rsidRPr="00902419">
              <w:rPr>
                <w:rFonts w:ascii="Titillium" w:hAnsi="Titillium"/>
                <w:sz w:val="16"/>
                <w:szCs w:val="16"/>
              </w:rPr>
              <w:t xml:space="preserve">- tereny 1KPL, ZP - przeznacza  się  pod  plac  oraz  zieleń </w:t>
            </w:r>
          </w:p>
          <w:p w14:paraId="1CD3E947" w14:textId="77777777" w:rsidR="005E408A" w:rsidRPr="00902419" w:rsidRDefault="005E408A" w:rsidP="005E408A">
            <w:pPr>
              <w:jc w:val="both"/>
              <w:rPr>
                <w:rFonts w:ascii="Titillium" w:hAnsi="Titillium"/>
                <w:sz w:val="16"/>
                <w:szCs w:val="16"/>
              </w:rPr>
            </w:pPr>
            <w:r w:rsidRPr="00902419">
              <w:rPr>
                <w:rFonts w:ascii="Titillium" w:hAnsi="Titillium"/>
                <w:sz w:val="16"/>
                <w:szCs w:val="16"/>
              </w:rPr>
              <w:t>urządzoną, wraz z obiektami i urządzeniami towarzyszącymi</w:t>
            </w:r>
          </w:p>
          <w:p w14:paraId="08A8F96D" w14:textId="77777777" w:rsidR="005E408A" w:rsidRPr="00902419" w:rsidRDefault="005E408A" w:rsidP="005E408A">
            <w:pPr>
              <w:jc w:val="both"/>
              <w:rPr>
                <w:rFonts w:ascii="Titillium" w:hAnsi="Titillium"/>
                <w:sz w:val="16"/>
                <w:szCs w:val="16"/>
              </w:rPr>
            </w:pPr>
            <w:r w:rsidRPr="00902419">
              <w:rPr>
                <w:rFonts w:ascii="Titillium" w:hAnsi="Titillium"/>
                <w:sz w:val="16"/>
                <w:szCs w:val="16"/>
              </w:rPr>
              <w:t>oraz</w:t>
            </w:r>
          </w:p>
          <w:p w14:paraId="557579A7" w14:textId="542AA4FA" w:rsidR="005E408A" w:rsidRPr="00902419" w:rsidRDefault="001F6721" w:rsidP="005E408A">
            <w:pPr>
              <w:jc w:val="both"/>
              <w:rPr>
                <w:rFonts w:ascii="Titillium" w:hAnsi="Titillium"/>
                <w:sz w:val="16"/>
                <w:szCs w:val="16"/>
              </w:rPr>
            </w:pPr>
            <w:r>
              <w:rPr>
                <w:rFonts w:ascii="Titillium" w:hAnsi="Titillium"/>
                <w:sz w:val="16"/>
                <w:szCs w:val="16"/>
              </w:rPr>
              <w:t xml:space="preserve">Zgodnie z </w:t>
            </w:r>
            <w:r w:rsidR="005E408A" w:rsidRPr="00902419">
              <w:rPr>
                <w:rFonts w:ascii="Titillium" w:hAnsi="Titillium"/>
                <w:sz w:val="16"/>
                <w:szCs w:val="16"/>
              </w:rPr>
              <w:t>UCHWAŁ</w:t>
            </w:r>
            <w:r>
              <w:rPr>
                <w:rFonts w:ascii="Titillium" w:hAnsi="Titillium"/>
                <w:sz w:val="16"/>
                <w:szCs w:val="16"/>
              </w:rPr>
              <w:t>Ą</w:t>
            </w:r>
            <w:r w:rsidR="005E408A" w:rsidRPr="00902419">
              <w:rPr>
                <w:rFonts w:ascii="Titillium" w:hAnsi="Titillium"/>
                <w:sz w:val="16"/>
                <w:szCs w:val="16"/>
              </w:rPr>
              <w:t xml:space="preserve"> NR XVII/255/16 RADY MIASTA BIAŁYSTOK z dnia 18 stycznia 2016 r. w sprawie miejscowego planu zagospodarowania przestrzennego części osiedla Centrum</w:t>
            </w:r>
          </w:p>
          <w:p w14:paraId="16C8D835" w14:textId="77777777" w:rsidR="005E408A" w:rsidRPr="00902419" w:rsidRDefault="005E408A" w:rsidP="005E408A">
            <w:pPr>
              <w:rPr>
                <w:rFonts w:ascii="Titillium" w:hAnsi="Titillium"/>
                <w:sz w:val="16"/>
                <w:szCs w:val="16"/>
              </w:rPr>
            </w:pPr>
            <w:r w:rsidRPr="00902419">
              <w:rPr>
                <w:rFonts w:ascii="Titillium" w:hAnsi="Titillium"/>
                <w:sz w:val="16"/>
                <w:szCs w:val="16"/>
              </w:rPr>
              <w:t xml:space="preserve"> w Białymstoku (rejon Al. J. Piłsudskiego i ul. Żabiej)</w:t>
            </w:r>
          </w:p>
          <w:p w14:paraId="321B293E" w14:textId="77777777" w:rsidR="005E408A" w:rsidRPr="00902419" w:rsidRDefault="005E408A" w:rsidP="005E408A">
            <w:pPr>
              <w:rPr>
                <w:rFonts w:ascii="Titillium" w:hAnsi="Titillium"/>
                <w:sz w:val="16"/>
                <w:szCs w:val="16"/>
              </w:rPr>
            </w:pPr>
            <w:r w:rsidRPr="00902419">
              <w:rPr>
                <w:rFonts w:ascii="Titillium" w:hAnsi="Titillium"/>
                <w:sz w:val="16"/>
                <w:szCs w:val="16"/>
              </w:rPr>
              <w:t>- tereny 3U - przeznacza się pod zabudowę usługową wraz z obiektami i urządzeniami towarzyszącymi oraz zielenią urządzoną.</w:t>
            </w:r>
          </w:p>
          <w:p w14:paraId="570A0E02" w14:textId="77777777" w:rsidR="005E408A" w:rsidRPr="00902419" w:rsidRDefault="005E408A" w:rsidP="005E408A">
            <w:pPr>
              <w:rPr>
                <w:rFonts w:ascii="Titillium" w:hAnsi="Titillium"/>
                <w:sz w:val="16"/>
                <w:szCs w:val="16"/>
              </w:rPr>
            </w:pPr>
            <w:r w:rsidRPr="00902419">
              <w:rPr>
                <w:rFonts w:ascii="Titillium" w:hAnsi="Titillium"/>
                <w:sz w:val="16"/>
                <w:szCs w:val="16"/>
              </w:rPr>
              <w:t>- tereny 4MW, U - przeznacza się pod zabudowę mieszkaniową wielorodzinną i usługową wraz z obiektami i urządzeniami towarzyszącymi oraz zielenią urządzoną</w:t>
            </w:r>
          </w:p>
          <w:p w14:paraId="37C83E71" w14:textId="77777777" w:rsidR="005E408A" w:rsidRPr="00902419" w:rsidRDefault="005E408A" w:rsidP="005E408A">
            <w:pPr>
              <w:rPr>
                <w:rFonts w:ascii="Titillium" w:hAnsi="Titillium"/>
                <w:sz w:val="16"/>
                <w:szCs w:val="16"/>
              </w:rPr>
            </w:pPr>
            <w:r w:rsidRPr="00902419">
              <w:rPr>
                <w:rFonts w:ascii="Titillium" w:hAnsi="Titillium"/>
                <w:sz w:val="16"/>
                <w:szCs w:val="16"/>
              </w:rPr>
              <w:t>- tereny 7ZP-KPL - przeznacza się pod zieleń urządzoną i plac, wraz z obiektami i urządzeniami towarzyszącymi</w:t>
            </w:r>
          </w:p>
          <w:p w14:paraId="1810351E" w14:textId="77777777" w:rsidR="005E408A" w:rsidRPr="00902419" w:rsidRDefault="005E408A" w:rsidP="005E408A">
            <w:pPr>
              <w:rPr>
                <w:rFonts w:ascii="Titillium" w:hAnsi="Titillium"/>
                <w:sz w:val="16"/>
                <w:szCs w:val="16"/>
              </w:rPr>
            </w:pPr>
            <w:r w:rsidRPr="00902419">
              <w:rPr>
                <w:rFonts w:ascii="Titillium" w:hAnsi="Titillium"/>
                <w:sz w:val="16"/>
                <w:szCs w:val="16"/>
              </w:rPr>
              <w:t>- tereny 8MW - przeznacza się pod zabudowę mieszkaniową wielorodzinną wraz z obiektami i urządzeniami towarzyszącymi oraz zielenią urządzoną</w:t>
            </w:r>
          </w:p>
          <w:p w14:paraId="36D11BB0" w14:textId="7ACEA68E" w:rsidR="005E408A" w:rsidRPr="00902419" w:rsidRDefault="005E408A" w:rsidP="005E408A">
            <w:pPr>
              <w:rPr>
                <w:rFonts w:ascii="Titillium" w:eastAsia="Times New Roman" w:hAnsi="Titillium" w:cs="Times New Roman"/>
                <w:sz w:val="16"/>
                <w:szCs w:val="16"/>
              </w:rPr>
            </w:pPr>
          </w:p>
        </w:tc>
      </w:tr>
      <w:tr w:rsidR="005E408A" w:rsidRPr="00D63FC3" w14:paraId="5E7C27B6" w14:textId="77777777" w:rsidTr="00A96F60">
        <w:tblPrEx>
          <w:tblCellMar>
            <w:top w:w="47" w:type="dxa"/>
            <w:right w:w="56" w:type="dxa"/>
          </w:tblCellMar>
        </w:tblPrEx>
        <w:trPr>
          <w:trHeight w:val="758"/>
        </w:trPr>
        <w:tc>
          <w:tcPr>
            <w:tcW w:w="0" w:type="auto"/>
            <w:vMerge/>
            <w:tcBorders>
              <w:top w:val="nil"/>
              <w:left w:val="single" w:sz="4" w:space="0" w:color="000000"/>
              <w:bottom w:val="nil"/>
              <w:right w:val="single" w:sz="4" w:space="0" w:color="000000"/>
            </w:tcBorders>
          </w:tcPr>
          <w:p w14:paraId="58544A9D" w14:textId="77777777" w:rsidR="005E408A" w:rsidRPr="00D63FC3" w:rsidRDefault="005E408A" w:rsidP="005E408A">
            <w:pPr>
              <w:rPr>
                <w:rFonts w:ascii="Titillium" w:hAnsi="Titillium"/>
                <w:sz w:val="16"/>
                <w:szCs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4BF5409" w14:textId="5B8750F8" w:rsidR="005E408A" w:rsidRPr="00D63FC3" w:rsidRDefault="005E408A" w:rsidP="005E408A">
            <w:pPr>
              <w:ind w:left="2"/>
              <w:rPr>
                <w:rFonts w:ascii="Titillium" w:hAnsi="Titillium"/>
                <w:sz w:val="16"/>
                <w:szCs w:val="16"/>
              </w:rPr>
            </w:pPr>
            <w:r w:rsidRPr="00D63FC3">
              <w:rPr>
                <w:rFonts w:ascii="Titillium" w:eastAsia="Times New Roman" w:hAnsi="Titillium" w:cs="Times New Roman"/>
                <w:sz w:val="16"/>
                <w:szCs w:val="16"/>
              </w:rPr>
              <w:t xml:space="preserve">Maksymalna intensywność zabudowy </w:t>
            </w:r>
          </w:p>
        </w:tc>
        <w:tc>
          <w:tcPr>
            <w:tcW w:w="4800" w:type="dxa"/>
            <w:tcBorders>
              <w:top w:val="single" w:sz="4" w:space="0" w:color="000000"/>
              <w:left w:val="single" w:sz="4" w:space="0" w:color="000000"/>
              <w:bottom w:val="single" w:sz="4" w:space="0" w:color="000000"/>
              <w:right w:val="single" w:sz="4" w:space="0" w:color="000000"/>
            </w:tcBorders>
          </w:tcPr>
          <w:p w14:paraId="6E52699A" w14:textId="77777777" w:rsidR="005E408A" w:rsidRPr="00902419" w:rsidRDefault="005E408A" w:rsidP="005E408A">
            <w:pPr>
              <w:ind w:left="4"/>
              <w:jc w:val="both"/>
              <w:rPr>
                <w:rFonts w:ascii="Titillium" w:eastAsia="Times New Roman" w:hAnsi="Titillium" w:cs="Times New Roman"/>
                <w:sz w:val="16"/>
                <w:szCs w:val="16"/>
              </w:rPr>
            </w:pPr>
          </w:p>
          <w:p w14:paraId="2B079F6F" w14:textId="6AAA31CD" w:rsidR="005E408A" w:rsidRPr="00902419" w:rsidRDefault="005E408A" w:rsidP="005E408A">
            <w:pPr>
              <w:jc w:val="both"/>
              <w:rPr>
                <w:rFonts w:ascii="Titillium" w:eastAsia="Times New Roman" w:hAnsi="Titillium" w:cs="Times New Roman"/>
                <w:sz w:val="16"/>
                <w:szCs w:val="16"/>
              </w:rPr>
            </w:pPr>
            <w:r w:rsidRPr="00902419">
              <w:rPr>
                <w:rFonts w:ascii="Titillium" w:eastAsia="Times New Roman" w:hAnsi="Titillium" w:cs="Times New Roman"/>
                <w:sz w:val="16"/>
                <w:szCs w:val="16"/>
              </w:rPr>
              <w:t>brak informacji w planie</w:t>
            </w:r>
          </w:p>
        </w:tc>
      </w:tr>
      <w:tr w:rsidR="005E408A" w:rsidRPr="00D63FC3" w14:paraId="6E7A80D1" w14:textId="77777777" w:rsidTr="00A96F60">
        <w:tblPrEx>
          <w:tblCellMar>
            <w:top w:w="47" w:type="dxa"/>
            <w:right w:w="56" w:type="dxa"/>
          </w:tblCellMar>
        </w:tblPrEx>
        <w:trPr>
          <w:trHeight w:val="758"/>
        </w:trPr>
        <w:tc>
          <w:tcPr>
            <w:tcW w:w="0" w:type="auto"/>
            <w:vMerge/>
            <w:tcBorders>
              <w:top w:val="nil"/>
              <w:left w:val="single" w:sz="4" w:space="0" w:color="000000"/>
              <w:bottom w:val="nil"/>
              <w:right w:val="single" w:sz="4" w:space="0" w:color="000000"/>
            </w:tcBorders>
          </w:tcPr>
          <w:p w14:paraId="4C35B9AA" w14:textId="77777777" w:rsidR="005E408A" w:rsidRPr="00D63FC3" w:rsidRDefault="005E408A" w:rsidP="005E408A">
            <w:pPr>
              <w:rPr>
                <w:rFonts w:ascii="Titillium" w:hAnsi="Titillium"/>
                <w:sz w:val="16"/>
                <w:szCs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4208EE4" w14:textId="5068B938" w:rsidR="005E408A" w:rsidRPr="00D63FC3" w:rsidRDefault="005E408A" w:rsidP="005E408A">
            <w:pPr>
              <w:ind w:left="2"/>
              <w:rPr>
                <w:rFonts w:ascii="Titillium" w:eastAsia="Times New Roman" w:hAnsi="Titillium" w:cs="Times New Roman"/>
                <w:sz w:val="16"/>
                <w:szCs w:val="16"/>
              </w:rPr>
            </w:pPr>
            <w:r w:rsidRPr="00D63FC3">
              <w:rPr>
                <w:rFonts w:ascii="Titillium" w:eastAsia="Times New Roman" w:hAnsi="Titillium" w:cs="Times New Roman"/>
                <w:sz w:val="16"/>
                <w:szCs w:val="16"/>
              </w:rPr>
              <w:t xml:space="preserve">Maksymalna i minimalna nadziemna intensywność zabudowy </w:t>
            </w:r>
          </w:p>
        </w:tc>
        <w:tc>
          <w:tcPr>
            <w:tcW w:w="4800" w:type="dxa"/>
            <w:tcBorders>
              <w:top w:val="single" w:sz="4" w:space="0" w:color="000000"/>
              <w:left w:val="single" w:sz="4" w:space="0" w:color="000000"/>
              <w:bottom w:val="single" w:sz="4" w:space="0" w:color="000000"/>
              <w:right w:val="single" w:sz="4" w:space="0" w:color="000000"/>
            </w:tcBorders>
          </w:tcPr>
          <w:p w14:paraId="30169C64" w14:textId="6C14D04B"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brak informacji w planie</w:t>
            </w:r>
          </w:p>
        </w:tc>
      </w:tr>
      <w:tr w:rsidR="005E408A" w:rsidRPr="00D63FC3" w14:paraId="273FC4A8" w14:textId="77777777" w:rsidTr="00033885">
        <w:tblPrEx>
          <w:tblCellMar>
            <w:top w:w="47" w:type="dxa"/>
            <w:right w:w="56" w:type="dxa"/>
          </w:tblCellMar>
        </w:tblPrEx>
        <w:trPr>
          <w:trHeight w:val="376"/>
        </w:trPr>
        <w:tc>
          <w:tcPr>
            <w:tcW w:w="0" w:type="auto"/>
            <w:vMerge/>
            <w:tcBorders>
              <w:top w:val="nil"/>
              <w:left w:val="single" w:sz="4" w:space="0" w:color="000000"/>
              <w:bottom w:val="nil"/>
              <w:right w:val="single" w:sz="4" w:space="0" w:color="000000"/>
            </w:tcBorders>
          </w:tcPr>
          <w:p w14:paraId="64953459" w14:textId="77777777" w:rsidR="005E408A" w:rsidRPr="00D63FC3" w:rsidRDefault="005E408A" w:rsidP="005E408A">
            <w:pPr>
              <w:rPr>
                <w:rFonts w:ascii="Titillium" w:hAnsi="Titillium"/>
                <w:sz w:val="16"/>
                <w:szCs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B0614B2" w14:textId="35CB4BB3" w:rsidR="005E408A" w:rsidRPr="00D63FC3" w:rsidRDefault="005E408A" w:rsidP="005E408A">
            <w:pPr>
              <w:ind w:left="2"/>
              <w:rPr>
                <w:rFonts w:ascii="Titillium" w:eastAsia="Times New Roman" w:hAnsi="Titillium" w:cs="Times New Roman"/>
                <w:sz w:val="16"/>
                <w:szCs w:val="16"/>
              </w:rPr>
            </w:pPr>
            <w:r w:rsidRPr="00D63FC3">
              <w:rPr>
                <w:rFonts w:ascii="Titillium" w:eastAsia="Times New Roman" w:hAnsi="Titillium" w:cs="Times New Roman"/>
                <w:sz w:val="16"/>
                <w:szCs w:val="16"/>
              </w:rPr>
              <w:t>Maksymalna powierzchnia zabudowy</w:t>
            </w:r>
          </w:p>
        </w:tc>
        <w:tc>
          <w:tcPr>
            <w:tcW w:w="4800" w:type="dxa"/>
            <w:tcBorders>
              <w:top w:val="single" w:sz="4" w:space="0" w:color="000000"/>
              <w:left w:val="single" w:sz="4" w:space="0" w:color="000000"/>
              <w:bottom w:val="single" w:sz="4" w:space="0" w:color="000000"/>
              <w:right w:val="single" w:sz="4" w:space="0" w:color="000000"/>
            </w:tcBorders>
          </w:tcPr>
          <w:p w14:paraId="38042434" w14:textId="77777777" w:rsidR="0041742F" w:rsidRDefault="005E408A" w:rsidP="005E408A">
            <w:pPr>
              <w:jc w:val="both"/>
              <w:rPr>
                <w:rFonts w:ascii="Titillium" w:hAnsi="Titillium"/>
                <w:sz w:val="16"/>
                <w:szCs w:val="16"/>
              </w:rPr>
            </w:pPr>
            <w:r w:rsidRPr="00902419">
              <w:rPr>
                <w:rFonts w:ascii="Titillium" w:hAnsi="Titillium"/>
                <w:sz w:val="16"/>
                <w:szCs w:val="16"/>
              </w:rPr>
              <w:t>Zgodnie z UCHWAŁ</w:t>
            </w:r>
            <w:r w:rsidR="001F6721">
              <w:rPr>
                <w:rFonts w:ascii="Titillium" w:hAnsi="Titillium"/>
                <w:sz w:val="16"/>
                <w:szCs w:val="16"/>
              </w:rPr>
              <w:t>Ą</w:t>
            </w:r>
            <w:r w:rsidRPr="00902419">
              <w:rPr>
                <w:rFonts w:ascii="Titillium" w:hAnsi="Titillium"/>
                <w:sz w:val="16"/>
                <w:szCs w:val="16"/>
              </w:rPr>
              <w:t xml:space="preserve"> NR XLII/643/17 RADY MIASTA BIAŁYSTOK z dnia 30 października 2017r. w sprawie miejscowego planu zagospodarowania  przestrzennego części osiedla Centrum w Białymstoku </w:t>
            </w:r>
          </w:p>
          <w:p w14:paraId="2866841C" w14:textId="7074483C" w:rsidR="005E408A" w:rsidRPr="00902419" w:rsidRDefault="005E408A" w:rsidP="005E408A">
            <w:pPr>
              <w:jc w:val="both"/>
              <w:rPr>
                <w:rFonts w:ascii="Titillium" w:hAnsi="Titillium"/>
                <w:sz w:val="16"/>
                <w:szCs w:val="16"/>
              </w:rPr>
            </w:pPr>
            <w:r w:rsidRPr="00902419">
              <w:rPr>
                <w:rFonts w:ascii="Titillium" w:hAnsi="Titillium"/>
                <w:sz w:val="16"/>
                <w:szCs w:val="16"/>
              </w:rPr>
              <w:t xml:space="preserve">(rejon Al. J. Piłsudskiego i ul. Czystej): </w:t>
            </w:r>
          </w:p>
          <w:p w14:paraId="7FE6EE79"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6.2MW, U - powierzchnia zabudowy - maksimum 50 %,</w:t>
            </w:r>
          </w:p>
          <w:p w14:paraId="5957A306"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8MW, U - powierzchnia zabudowy - maksimum 50 %,</w:t>
            </w:r>
          </w:p>
          <w:p w14:paraId="1215FBD1"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3MW, U - powierzchnia zabudowy - maksimum 50 %,</w:t>
            </w:r>
          </w:p>
          <w:p w14:paraId="706A4435"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2U - powierzchnia zabudowy - maksimum 50 %,</w:t>
            </w:r>
          </w:p>
          <w:p w14:paraId="37C7A9CE"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9U - powierzchnia zabudowy - maksimum 60 %,</w:t>
            </w:r>
          </w:p>
          <w:p w14:paraId="01CA03C1" w14:textId="7CCE1CC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1KPL, ZP – zakazuje się budowy budynków</w:t>
            </w:r>
            <w:r w:rsidR="0041742F">
              <w:rPr>
                <w:rFonts w:ascii="Titillium" w:eastAsia="Times New Roman" w:hAnsi="Titillium" w:cs="Times New Roman"/>
                <w:sz w:val="16"/>
                <w:szCs w:val="16"/>
              </w:rPr>
              <w:t>.</w:t>
            </w:r>
          </w:p>
          <w:p w14:paraId="3DFEB444" w14:textId="77777777" w:rsidR="005E408A" w:rsidRPr="00902419" w:rsidRDefault="005E408A" w:rsidP="005E408A">
            <w:pPr>
              <w:ind w:left="4"/>
              <w:jc w:val="both"/>
              <w:rPr>
                <w:rFonts w:ascii="Titillium" w:eastAsia="Times New Roman" w:hAnsi="Titillium" w:cs="Times New Roman"/>
                <w:sz w:val="16"/>
                <w:szCs w:val="16"/>
              </w:rPr>
            </w:pPr>
          </w:p>
          <w:p w14:paraId="4CDDB4F7" w14:textId="77777777" w:rsidR="0041742F" w:rsidRDefault="005E408A" w:rsidP="0041742F">
            <w:pPr>
              <w:jc w:val="both"/>
              <w:rPr>
                <w:rFonts w:ascii="Titillium" w:hAnsi="Titillium"/>
                <w:sz w:val="16"/>
                <w:szCs w:val="16"/>
              </w:rPr>
            </w:pPr>
            <w:r w:rsidRPr="00902419">
              <w:rPr>
                <w:rFonts w:ascii="Titillium" w:hAnsi="Titillium"/>
                <w:sz w:val="16"/>
                <w:szCs w:val="16"/>
              </w:rPr>
              <w:t>Zgodnie z UCHWAŁ</w:t>
            </w:r>
            <w:r w:rsidR="001F6721">
              <w:rPr>
                <w:rFonts w:ascii="Titillium" w:hAnsi="Titillium"/>
                <w:sz w:val="16"/>
                <w:szCs w:val="16"/>
              </w:rPr>
              <w:t>Ą</w:t>
            </w:r>
            <w:r w:rsidRPr="00902419">
              <w:rPr>
                <w:rFonts w:ascii="Titillium" w:hAnsi="Titillium"/>
                <w:sz w:val="16"/>
                <w:szCs w:val="16"/>
              </w:rPr>
              <w:t xml:space="preserve"> NR XVII/255/16 RADY MIASTA BIAŁYSTOK z dnia 18 stycznia 2016 r. w sprawie miejscowego planu zagospodarowania przestrzennego części osiedla Centrum</w:t>
            </w:r>
            <w:r w:rsidR="0041742F">
              <w:rPr>
                <w:rFonts w:ascii="Titillium" w:hAnsi="Titillium"/>
                <w:sz w:val="16"/>
                <w:szCs w:val="16"/>
              </w:rPr>
              <w:t xml:space="preserve"> </w:t>
            </w:r>
            <w:r w:rsidRPr="00902419">
              <w:rPr>
                <w:rFonts w:ascii="Titillium" w:hAnsi="Titillium"/>
                <w:sz w:val="16"/>
                <w:szCs w:val="16"/>
              </w:rPr>
              <w:t xml:space="preserve">w Białymstoku </w:t>
            </w:r>
          </w:p>
          <w:p w14:paraId="62C1A8D3" w14:textId="239CAE76" w:rsidR="005E408A" w:rsidRPr="00902419" w:rsidRDefault="005E408A" w:rsidP="0041742F">
            <w:pPr>
              <w:jc w:val="both"/>
              <w:rPr>
                <w:rFonts w:ascii="Titillium" w:hAnsi="Titillium"/>
                <w:sz w:val="16"/>
                <w:szCs w:val="16"/>
              </w:rPr>
            </w:pPr>
            <w:r w:rsidRPr="00902419">
              <w:rPr>
                <w:rFonts w:ascii="Titillium" w:hAnsi="Titillium"/>
                <w:sz w:val="16"/>
                <w:szCs w:val="16"/>
              </w:rPr>
              <w:t>(rejon Al. J. Piłsudskiego i ul. Żabiej):</w:t>
            </w:r>
          </w:p>
          <w:p w14:paraId="3A7686A3"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3U - powierzchnia zabudowy - maksimum 50 %,</w:t>
            </w:r>
          </w:p>
          <w:p w14:paraId="7017E8D7"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4MW, U - dla  części  terenu  wyznaczonych  liniami  wydzielenia  wewnętrznego  „A”,  „B”  i „C” – maksimum 40 %,</w:t>
            </w:r>
          </w:p>
          <w:p w14:paraId="604C60D6"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dla pozostałej części terenu – maksimum 35 %,</w:t>
            </w:r>
          </w:p>
          <w:p w14:paraId="6D2BDEC3"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7ZP-KPL - zakazuje się budowy budynków – z zastrzeżeniem pkt.:</w:t>
            </w:r>
          </w:p>
          <w:p w14:paraId="470DC3B1" w14:textId="6CBF2A7E"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dopuszcza  się  odtworzenie  innych  istotnych  ze  względów  historycznych  elementów  według dostępnych materiałów archiwalnych (np. dawnego mauzoleum cmentarza </w:t>
            </w:r>
            <w:proofErr w:type="spellStart"/>
            <w:r w:rsidRPr="00902419">
              <w:rPr>
                <w:rFonts w:ascii="Titillium" w:eastAsia="Times New Roman" w:hAnsi="Titillium" w:cs="Times New Roman"/>
                <w:sz w:val="16"/>
                <w:szCs w:val="16"/>
              </w:rPr>
              <w:t>gettowego</w:t>
            </w:r>
            <w:proofErr w:type="spellEnd"/>
            <w:r w:rsidRPr="00902419">
              <w:rPr>
                <w:rFonts w:ascii="Titillium" w:eastAsia="Times New Roman" w:hAnsi="Titillium" w:cs="Times New Roman"/>
                <w:sz w:val="16"/>
                <w:szCs w:val="16"/>
              </w:rPr>
              <w:t xml:space="preserve"> z brzozową aleją) w ich pierwotnej kubaturze, formie architektonicznej i usytuowaniu</w:t>
            </w:r>
            <w:r w:rsidR="0041742F">
              <w:rPr>
                <w:rFonts w:ascii="Titillium" w:eastAsia="Times New Roman" w:hAnsi="Titillium" w:cs="Times New Roman"/>
                <w:sz w:val="16"/>
                <w:szCs w:val="16"/>
              </w:rPr>
              <w:t>,</w:t>
            </w:r>
          </w:p>
          <w:p w14:paraId="76194A05" w14:textId="3D7A18F5"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8MW -</w:t>
            </w:r>
            <w:r w:rsidR="005F6464">
              <w:rPr>
                <w:rFonts w:ascii="Titillium" w:eastAsia="Times New Roman" w:hAnsi="Titillium" w:cs="Times New Roman"/>
                <w:sz w:val="16"/>
                <w:szCs w:val="16"/>
              </w:rPr>
              <w:t xml:space="preserve"> </w:t>
            </w:r>
            <w:r w:rsidRPr="00902419">
              <w:rPr>
                <w:rFonts w:ascii="Titillium" w:eastAsia="Times New Roman" w:hAnsi="Titillium" w:cs="Times New Roman"/>
                <w:sz w:val="16"/>
                <w:szCs w:val="16"/>
              </w:rPr>
              <w:t>dla części terenu wyznaczonej linią wydzielenia wewnętrznego „A” – maksimum 50 %,</w:t>
            </w:r>
          </w:p>
          <w:p w14:paraId="4354CCC0" w14:textId="53EAB017" w:rsidR="005E408A" w:rsidRPr="00D63FC3" w:rsidRDefault="005E408A" w:rsidP="00033885">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lastRenderedPageBreak/>
              <w:t>- dla pozostałej części terenu – maksimum 35 %</w:t>
            </w:r>
            <w:r w:rsidR="0041742F">
              <w:rPr>
                <w:rFonts w:ascii="Titillium" w:eastAsia="Times New Roman" w:hAnsi="Titillium" w:cs="Times New Roman"/>
                <w:sz w:val="16"/>
                <w:szCs w:val="16"/>
              </w:rPr>
              <w:t>.</w:t>
            </w:r>
          </w:p>
        </w:tc>
      </w:tr>
      <w:tr w:rsidR="005E408A" w:rsidRPr="00BC419D" w14:paraId="10C6737F" w14:textId="77777777" w:rsidTr="00FA76ED">
        <w:tblPrEx>
          <w:tblCellMar>
            <w:top w:w="47" w:type="dxa"/>
            <w:right w:w="56" w:type="dxa"/>
          </w:tblCellMar>
        </w:tblPrEx>
        <w:trPr>
          <w:trHeight w:val="528"/>
        </w:trPr>
        <w:tc>
          <w:tcPr>
            <w:tcW w:w="0" w:type="auto"/>
            <w:vMerge/>
            <w:tcBorders>
              <w:top w:val="nil"/>
              <w:left w:val="single" w:sz="4" w:space="0" w:color="000000"/>
              <w:bottom w:val="nil"/>
              <w:right w:val="single" w:sz="4" w:space="0" w:color="000000"/>
            </w:tcBorders>
          </w:tcPr>
          <w:p w14:paraId="5C0C4868" w14:textId="77777777" w:rsidR="005E408A" w:rsidRPr="00D63FC3" w:rsidRDefault="005E408A" w:rsidP="005E408A">
            <w:pPr>
              <w:rPr>
                <w:rFonts w:ascii="Titillium" w:hAnsi="Titillium"/>
                <w:sz w:val="16"/>
                <w:szCs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E42AF12" w14:textId="77777777" w:rsidR="005E408A" w:rsidRPr="00D63FC3" w:rsidRDefault="005E408A" w:rsidP="005E408A">
            <w:pPr>
              <w:ind w:left="2"/>
              <w:rPr>
                <w:rFonts w:ascii="Titillium" w:hAnsi="Titillium"/>
                <w:sz w:val="16"/>
                <w:szCs w:val="16"/>
              </w:rPr>
            </w:pPr>
            <w:r w:rsidRPr="00D63FC3">
              <w:rPr>
                <w:rFonts w:ascii="Titillium" w:eastAsia="Times New Roman" w:hAnsi="Titillium" w:cs="Times New Roman"/>
                <w:sz w:val="16"/>
                <w:szCs w:val="16"/>
              </w:rPr>
              <w:t xml:space="preserve">Maksymalna wysokość zabudowy </w:t>
            </w:r>
          </w:p>
        </w:tc>
        <w:tc>
          <w:tcPr>
            <w:tcW w:w="4800" w:type="dxa"/>
            <w:tcBorders>
              <w:top w:val="single" w:sz="4" w:space="0" w:color="000000"/>
              <w:left w:val="single" w:sz="4" w:space="0" w:color="000000"/>
              <w:bottom w:val="single" w:sz="4" w:space="0" w:color="000000"/>
              <w:right w:val="single" w:sz="4" w:space="0" w:color="000000"/>
            </w:tcBorders>
          </w:tcPr>
          <w:p w14:paraId="30147946" w14:textId="694A4040" w:rsidR="005E408A" w:rsidRPr="00902419" w:rsidRDefault="005E408A" w:rsidP="005E408A">
            <w:pPr>
              <w:jc w:val="both"/>
              <w:rPr>
                <w:rFonts w:ascii="Titillium" w:hAnsi="Titillium"/>
                <w:sz w:val="16"/>
                <w:szCs w:val="16"/>
              </w:rPr>
            </w:pPr>
            <w:r w:rsidRPr="00902419">
              <w:rPr>
                <w:rFonts w:ascii="Titillium" w:hAnsi="Titillium"/>
                <w:sz w:val="16"/>
                <w:szCs w:val="16"/>
              </w:rPr>
              <w:t>Zgodnie z UCHWAŁ</w:t>
            </w:r>
            <w:r w:rsidR="001F6721">
              <w:rPr>
                <w:rFonts w:ascii="Titillium" w:hAnsi="Titillium"/>
                <w:sz w:val="16"/>
                <w:szCs w:val="16"/>
              </w:rPr>
              <w:t>Ą</w:t>
            </w:r>
            <w:r w:rsidRPr="00902419">
              <w:rPr>
                <w:rFonts w:ascii="Titillium" w:hAnsi="Titillium"/>
                <w:sz w:val="16"/>
                <w:szCs w:val="16"/>
              </w:rPr>
              <w:t xml:space="preserve"> NR XLII/643/17 RADY MIASTA BIAŁYSTOK z dnia 30 października 2017r. w sprawie miejscowego planu zagospodarowania  przestrzennego części osiedla Centrum w Białymstoku (rejon Al. J. Piłsudskiego i ul. Czystej): </w:t>
            </w:r>
          </w:p>
          <w:p w14:paraId="0E14A28B" w14:textId="29E3C3F8" w:rsidR="005E408A" w:rsidRPr="00902419" w:rsidRDefault="005E408A" w:rsidP="005F6464">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6.2MW, U - na częściach terenów 6.1MW, U, 6.2MW, U i 7MW, U w pasie terenu o szerokości maksimum 30 m od linii rozgraniczającej teren i 2KD-Z ul. Bohaterów Getta – maksimum do 21 m,</w:t>
            </w:r>
          </w:p>
          <w:p w14:paraId="48AC6831"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8MW, U - maksimum 16 m,</w:t>
            </w:r>
          </w:p>
          <w:p w14:paraId="1925F466"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3MW, U - maksimum 16 m,</w:t>
            </w:r>
          </w:p>
          <w:p w14:paraId="601DA34D" w14:textId="037C72BF"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2U - maksimum 16 m</w:t>
            </w:r>
            <w:r w:rsidR="0041742F">
              <w:rPr>
                <w:rFonts w:ascii="Titillium" w:eastAsia="Times New Roman" w:hAnsi="Titillium" w:cs="Times New Roman"/>
                <w:sz w:val="16"/>
                <w:szCs w:val="16"/>
              </w:rPr>
              <w:t>,</w:t>
            </w:r>
          </w:p>
          <w:p w14:paraId="6C0EAE4A"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9U - maksimum 16 m,</w:t>
            </w:r>
          </w:p>
          <w:p w14:paraId="0A414D9D" w14:textId="0810B1AA" w:rsidR="005E408A" w:rsidRPr="004817C8" w:rsidRDefault="005E408A" w:rsidP="005E408A">
            <w:pPr>
              <w:ind w:left="4"/>
              <w:jc w:val="both"/>
              <w:rPr>
                <w:rFonts w:ascii="Titillium" w:eastAsia="Times New Roman" w:hAnsi="Titillium" w:cs="Times New Roman"/>
                <w:sz w:val="16"/>
                <w:szCs w:val="16"/>
              </w:rPr>
            </w:pPr>
            <w:r w:rsidRPr="004817C8">
              <w:rPr>
                <w:rFonts w:ascii="Titillium" w:eastAsia="Times New Roman" w:hAnsi="Titillium" w:cs="Times New Roman"/>
                <w:sz w:val="16"/>
                <w:szCs w:val="16"/>
              </w:rPr>
              <w:t xml:space="preserve">- teren 1KPL, ZP – </w:t>
            </w:r>
            <w:r w:rsidR="0041742F" w:rsidRPr="0041742F">
              <w:rPr>
                <w:rFonts w:ascii="Titillium" w:eastAsia="Times New Roman" w:hAnsi="Titillium" w:cs="Times New Roman"/>
                <w:sz w:val="16"/>
                <w:szCs w:val="16"/>
              </w:rPr>
              <w:t>maksimum 16 m.</w:t>
            </w:r>
          </w:p>
          <w:p w14:paraId="064B35EA" w14:textId="77777777" w:rsidR="005E408A" w:rsidRDefault="005E408A" w:rsidP="005E408A">
            <w:pPr>
              <w:ind w:left="4"/>
              <w:jc w:val="both"/>
              <w:rPr>
                <w:rFonts w:ascii="Titillium" w:eastAsia="Times New Roman" w:hAnsi="Titillium" w:cs="Times New Roman"/>
                <w:sz w:val="16"/>
                <w:szCs w:val="16"/>
              </w:rPr>
            </w:pPr>
          </w:p>
          <w:p w14:paraId="1271F23C" w14:textId="630875C7" w:rsidR="005E408A" w:rsidRPr="00902419" w:rsidRDefault="005E408A" w:rsidP="0041742F">
            <w:pPr>
              <w:jc w:val="both"/>
              <w:rPr>
                <w:rFonts w:ascii="Titillium" w:hAnsi="Titillium"/>
                <w:sz w:val="16"/>
                <w:szCs w:val="16"/>
              </w:rPr>
            </w:pPr>
            <w:r w:rsidRPr="00902419">
              <w:rPr>
                <w:rFonts w:ascii="Titillium" w:hAnsi="Titillium"/>
                <w:sz w:val="16"/>
                <w:szCs w:val="16"/>
              </w:rPr>
              <w:t>Zgodnie z UCHWAŁ</w:t>
            </w:r>
            <w:r w:rsidR="001F6721">
              <w:rPr>
                <w:rFonts w:ascii="Titillium" w:hAnsi="Titillium"/>
                <w:sz w:val="16"/>
                <w:szCs w:val="16"/>
              </w:rPr>
              <w:t>Ą</w:t>
            </w:r>
            <w:r w:rsidRPr="00902419">
              <w:rPr>
                <w:rFonts w:ascii="Titillium" w:hAnsi="Titillium"/>
                <w:sz w:val="16"/>
                <w:szCs w:val="16"/>
              </w:rPr>
              <w:t xml:space="preserve"> NR XVII/255/16 RADY MIASTA BIAŁYSTOK z dnia 18 stycznia 2016 r. w sprawie miejscowego planu zagospodarowania przestrzennego części osiedla Centrum</w:t>
            </w:r>
            <w:r w:rsidR="0041742F">
              <w:rPr>
                <w:rFonts w:ascii="Titillium" w:hAnsi="Titillium"/>
                <w:sz w:val="16"/>
                <w:szCs w:val="16"/>
              </w:rPr>
              <w:t xml:space="preserve"> </w:t>
            </w:r>
            <w:r w:rsidRPr="00902419">
              <w:rPr>
                <w:rFonts w:ascii="Titillium" w:hAnsi="Titillium"/>
                <w:sz w:val="16"/>
                <w:szCs w:val="16"/>
              </w:rPr>
              <w:t>w Białymstoku (rejon Al. J. Piłsudskiego i ul. Żabiej):</w:t>
            </w:r>
          </w:p>
          <w:p w14:paraId="38669BA6"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3U - części terenu wyznaczonej linią wydzielenia wewnętrznego „B” – maksimum 16 m,</w:t>
            </w:r>
          </w:p>
          <w:p w14:paraId="3DA1364A" w14:textId="21E1BD6A" w:rsidR="005E408A" w:rsidRPr="00902419" w:rsidRDefault="005E408A" w:rsidP="005F6464">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4MW, U – dla  części  terenu  wyznaczonych  liniami  wydzielenia  wewnętrznego  „A”,  „B”  i „C” – minimum 6 m, maksimum 8 m,</w:t>
            </w:r>
          </w:p>
          <w:p w14:paraId="6CAC84FB" w14:textId="796FFA80"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na pozostałej części terenu – minimum 12 m, maksimum 16 m</w:t>
            </w:r>
            <w:r w:rsidR="004817C8">
              <w:rPr>
                <w:rFonts w:ascii="Titillium" w:eastAsia="Times New Roman" w:hAnsi="Titillium" w:cs="Times New Roman"/>
                <w:sz w:val="16"/>
                <w:szCs w:val="16"/>
              </w:rPr>
              <w:t>,</w:t>
            </w:r>
          </w:p>
          <w:p w14:paraId="317671B1" w14:textId="57E9F53D" w:rsidR="005E408A" w:rsidRPr="004817C8" w:rsidRDefault="005E408A" w:rsidP="004817C8">
            <w:pPr>
              <w:ind w:left="4"/>
              <w:jc w:val="both"/>
              <w:rPr>
                <w:rFonts w:ascii="Titillium" w:eastAsia="Times New Roman" w:hAnsi="Titillium" w:cs="Times New Roman"/>
                <w:sz w:val="16"/>
                <w:szCs w:val="16"/>
              </w:rPr>
            </w:pPr>
            <w:r w:rsidRPr="004817C8">
              <w:rPr>
                <w:rFonts w:ascii="Titillium" w:eastAsia="Times New Roman" w:hAnsi="Titillium" w:cs="Times New Roman"/>
                <w:sz w:val="16"/>
                <w:szCs w:val="16"/>
              </w:rPr>
              <w:t>- teren 7ZP-KPL</w:t>
            </w:r>
            <w:r w:rsidR="004817C8" w:rsidRPr="004817C8">
              <w:rPr>
                <w:rFonts w:ascii="Titillium" w:eastAsia="Times New Roman" w:hAnsi="Titillium" w:cs="Times New Roman"/>
                <w:sz w:val="16"/>
                <w:szCs w:val="16"/>
              </w:rPr>
              <w:t xml:space="preserve"> – brak informacji w planie</w:t>
            </w:r>
            <w:r w:rsidR="004817C8">
              <w:rPr>
                <w:rFonts w:ascii="Titillium" w:eastAsia="Times New Roman" w:hAnsi="Titillium" w:cs="Times New Roman"/>
                <w:sz w:val="16"/>
                <w:szCs w:val="16"/>
              </w:rPr>
              <w:t>,</w:t>
            </w:r>
          </w:p>
          <w:p w14:paraId="27F46B58" w14:textId="415074AC" w:rsidR="005E408A" w:rsidRPr="005403B9" w:rsidRDefault="005E408A" w:rsidP="005E408A">
            <w:pPr>
              <w:ind w:left="4"/>
              <w:jc w:val="both"/>
              <w:rPr>
                <w:rFonts w:ascii="Titillium" w:eastAsia="Times New Roman" w:hAnsi="Titillium" w:cs="Times New Roman"/>
                <w:color w:val="70AD47" w:themeColor="accent6"/>
                <w:sz w:val="16"/>
                <w:szCs w:val="16"/>
                <w:lang w:val="en-US"/>
              </w:rPr>
            </w:pPr>
            <w:r w:rsidRPr="00902419">
              <w:rPr>
                <w:rFonts w:ascii="Titillium" w:eastAsia="Times New Roman" w:hAnsi="Titillium" w:cs="Times New Roman"/>
                <w:sz w:val="16"/>
                <w:szCs w:val="16"/>
                <w:lang w:val="en-US"/>
              </w:rPr>
              <w:t xml:space="preserve">- </w:t>
            </w:r>
            <w:proofErr w:type="spellStart"/>
            <w:r w:rsidRPr="00902419">
              <w:rPr>
                <w:rFonts w:ascii="Titillium" w:eastAsia="Times New Roman" w:hAnsi="Titillium" w:cs="Times New Roman"/>
                <w:sz w:val="16"/>
                <w:szCs w:val="16"/>
                <w:lang w:val="en-US"/>
              </w:rPr>
              <w:t>teren</w:t>
            </w:r>
            <w:proofErr w:type="spellEnd"/>
            <w:r w:rsidRPr="00902419">
              <w:rPr>
                <w:rFonts w:ascii="Titillium" w:eastAsia="Times New Roman" w:hAnsi="Titillium" w:cs="Times New Roman"/>
                <w:sz w:val="16"/>
                <w:szCs w:val="16"/>
                <w:lang w:val="en-US"/>
              </w:rPr>
              <w:t xml:space="preserve"> 8MW - </w:t>
            </w:r>
            <w:proofErr w:type="spellStart"/>
            <w:r w:rsidRPr="00902419">
              <w:rPr>
                <w:rFonts w:ascii="Titillium" w:eastAsia="Times New Roman" w:hAnsi="Titillium" w:cs="Times New Roman"/>
                <w:sz w:val="16"/>
                <w:szCs w:val="16"/>
                <w:lang w:val="en-US"/>
              </w:rPr>
              <w:t>maksimum</w:t>
            </w:r>
            <w:proofErr w:type="spellEnd"/>
            <w:r w:rsidRPr="00902419">
              <w:rPr>
                <w:rFonts w:ascii="Titillium" w:eastAsia="Times New Roman" w:hAnsi="Titillium" w:cs="Times New Roman"/>
                <w:sz w:val="16"/>
                <w:szCs w:val="16"/>
                <w:lang w:val="en-US"/>
              </w:rPr>
              <w:t xml:space="preserve"> 16 m</w:t>
            </w:r>
            <w:r w:rsidR="004817C8">
              <w:rPr>
                <w:rFonts w:ascii="Titillium" w:eastAsia="Times New Roman" w:hAnsi="Titillium" w:cs="Times New Roman"/>
                <w:sz w:val="16"/>
                <w:szCs w:val="16"/>
                <w:lang w:val="en-US"/>
              </w:rPr>
              <w:t>.</w:t>
            </w:r>
          </w:p>
          <w:p w14:paraId="3F4337F4" w14:textId="2121FDDB" w:rsidR="005E408A" w:rsidRPr="005E408A" w:rsidRDefault="005E408A" w:rsidP="005E408A">
            <w:pPr>
              <w:rPr>
                <w:rFonts w:ascii="Titillium" w:eastAsia="Times New Roman" w:hAnsi="Titillium" w:cs="Times New Roman"/>
                <w:kern w:val="2"/>
                <w:sz w:val="16"/>
                <w:szCs w:val="16"/>
                <w:lang w:val="en-US" w:eastAsia="en-US"/>
                <w14:ligatures w14:val="standardContextual"/>
              </w:rPr>
            </w:pPr>
          </w:p>
        </w:tc>
      </w:tr>
      <w:tr w:rsidR="005E408A" w:rsidRPr="00D63FC3" w14:paraId="717EF71E" w14:textId="77777777" w:rsidTr="00A96F60">
        <w:tblPrEx>
          <w:tblCellMar>
            <w:top w:w="47" w:type="dxa"/>
            <w:right w:w="56" w:type="dxa"/>
          </w:tblCellMar>
        </w:tblPrEx>
        <w:trPr>
          <w:trHeight w:val="758"/>
        </w:trPr>
        <w:tc>
          <w:tcPr>
            <w:tcW w:w="0" w:type="auto"/>
            <w:vMerge/>
            <w:tcBorders>
              <w:top w:val="nil"/>
              <w:left w:val="single" w:sz="4" w:space="0" w:color="000000"/>
              <w:bottom w:val="nil"/>
              <w:right w:val="single" w:sz="4" w:space="0" w:color="000000"/>
            </w:tcBorders>
          </w:tcPr>
          <w:p w14:paraId="2849792C" w14:textId="77777777" w:rsidR="005E408A" w:rsidRPr="005E408A" w:rsidRDefault="005E408A" w:rsidP="005E408A">
            <w:pPr>
              <w:rPr>
                <w:rFonts w:ascii="Titillium" w:hAnsi="Titillium"/>
                <w:sz w:val="16"/>
                <w:szCs w:val="16"/>
                <w:lang w:val="en-US"/>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25BA6301" w14:textId="77777777" w:rsidR="005E408A" w:rsidRPr="00D63FC3" w:rsidRDefault="005E408A" w:rsidP="005E408A">
            <w:pPr>
              <w:ind w:left="2"/>
              <w:rPr>
                <w:rFonts w:ascii="Titillium" w:hAnsi="Titillium"/>
                <w:sz w:val="16"/>
                <w:szCs w:val="16"/>
              </w:rPr>
            </w:pPr>
            <w:r w:rsidRPr="00D63FC3">
              <w:rPr>
                <w:rFonts w:ascii="Titillium" w:eastAsia="Times New Roman" w:hAnsi="Titillium" w:cs="Times New Roman"/>
                <w:sz w:val="16"/>
                <w:szCs w:val="16"/>
              </w:rPr>
              <w:t xml:space="preserve">Minimalny udział procentowy powierzchni biologicznie czynnej </w:t>
            </w:r>
          </w:p>
        </w:tc>
        <w:tc>
          <w:tcPr>
            <w:tcW w:w="4800" w:type="dxa"/>
            <w:tcBorders>
              <w:top w:val="single" w:sz="4" w:space="0" w:color="000000"/>
              <w:left w:val="single" w:sz="4" w:space="0" w:color="000000"/>
              <w:bottom w:val="single" w:sz="4" w:space="0" w:color="000000"/>
              <w:right w:val="single" w:sz="4" w:space="0" w:color="000000"/>
            </w:tcBorders>
          </w:tcPr>
          <w:p w14:paraId="71273228" w14:textId="45350CB8" w:rsidR="005E408A" w:rsidRPr="00902419" w:rsidRDefault="005E408A" w:rsidP="005E408A">
            <w:pPr>
              <w:jc w:val="both"/>
              <w:rPr>
                <w:rFonts w:ascii="Titillium" w:hAnsi="Titillium"/>
                <w:sz w:val="16"/>
                <w:szCs w:val="16"/>
              </w:rPr>
            </w:pPr>
            <w:r w:rsidRPr="00902419">
              <w:rPr>
                <w:rFonts w:ascii="Titillium" w:hAnsi="Titillium"/>
                <w:sz w:val="16"/>
                <w:szCs w:val="16"/>
              </w:rPr>
              <w:t>Zgodnie z UCHWAŁ</w:t>
            </w:r>
            <w:r w:rsidR="001F6721">
              <w:rPr>
                <w:rFonts w:ascii="Titillium" w:hAnsi="Titillium"/>
                <w:sz w:val="16"/>
                <w:szCs w:val="16"/>
              </w:rPr>
              <w:t>Ą</w:t>
            </w:r>
            <w:r w:rsidRPr="00902419">
              <w:rPr>
                <w:rFonts w:ascii="Titillium" w:hAnsi="Titillium"/>
                <w:sz w:val="16"/>
                <w:szCs w:val="16"/>
              </w:rPr>
              <w:t xml:space="preserve"> NR XLII/643/17 RADY MIASTA BIAŁYSTOK z dnia 30 października 2017r. w sprawie miejscowego planu zagospodarowania  przestrzennego części osiedla Centrum w Białymstoku (rejon Al. J. Piłsudskiego i ul. Czystej): </w:t>
            </w:r>
          </w:p>
          <w:p w14:paraId="07BC0E4A"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6.2MW, U - dla pozostałych terenów – 20 %,</w:t>
            </w:r>
          </w:p>
          <w:p w14:paraId="547CD3C5"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8MW, U - dla pozostałych terenów – 20 %,</w:t>
            </w:r>
          </w:p>
          <w:p w14:paraId="53D510D2" w14:textId="391B7320"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 teren 3MW, U - dla zabudowy w całości usługowej – 10 %, </w:t>
            </w:r>
          </w:p>
          <w:p w14:paraId="2FF3237A"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dla zabudowy z funkcją mieszkaniową wielorodzinną – 25 %,</w:t>
            </w:r>
          </w:p>
          <w:p w14:paraId="1DA4DB56" w14:textId="7549309C"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2U - 10 %, - dla zabudowy z funkcją mieszkaniową wielorodzinną - 25 %,</w:t>
            </w:r>
          </w:p>
          <w:p w14:paraId="587F27D1"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9U - minimalna powierzchnia biologicznie czynna – 25 %,</w:t>
            </w:r>
          </w:p>
          <w:p w14:paraId="212751E6" w14:textId="1C1EEC02"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1KPL, ZP – minimalną powierzchnię biologicznie czynną – 60 % terenu</w:t>
            </w:r>
            <w:r w:rsidR="0041742F">
              <w:rPr>
                <w:rFonts w:ascii="Titillium" w:eastAsia="Times New Roman" w:hAnsi="Titillium" w:cs="Times New Roman"/>
                <w:sz w:val="16"/>
                <w:szCs w:val="16"/>
              </w:rPr>
              <w:t>.</w:t>
            </w:r>
          </w:p>
          <w:p w14:paraId="7C7D9747" w14:textId="77777777" w:rsidR="005E408A" w:rsidRPr="00902419" w:rsidRDefault="005E408A" w:rsidP="005E408A">
            <w:pPr>
              <w:ind w:left="4"/>
              <w:jc w:val="both"/>
              <w:rPr>
                <w:rFonts w:ascii="Titillium" w:eastAsia="Times New Roman" w:hAnsi="Titillium" w:cs="Times New Roman"/>
                <w:sz w:val="16"/>
                <w:szCs w:val="16"/>
              </w:rPr>
            </w:pPr>
          </w:p>
          <w:p w14:paraId="79217DDE" w14:textId="6BD12538" w:rsidR="005E408A" w:rsidRPr="00902419" w:rsidRDefault="005E408A" w:rsidP="005E408A">
            <w:pPr>
              <w:jc w:val="both"/>
              <w:rPr>
                <w:rFonts w:ascii="Titillium" w:hAnsi="Titillium"/>
                <w:sz w:val="16"/>
                <w:szCs w:val="16"/>
              </w:rPr>
            </w:pPr>
            <w:r w:rsidRPr="00902419">
              <w:rPr>
                <w:rFonts w:ascii="Titillium" w:hAnsi="Titillium"/>
                <w:sz w:val="16"/>
                <w:szCs w:val="16"/>
              </w:rPr>
              <w:t>Zgodnie z UCHWAŁ</w:t>
            </w:r>
            <w:r w:rsidR="001F6721">
              <w:rPr>
                <w:rFonts w:ascii="Titillium" w:hAnsi="Titillium"/>
                <w:sz w:val="16"/>
                <w:szCs w:val="16"/>
              </w:rPr>
              <w:t>Ą</w:t>
            </w:r>
            <w:r w:rsidRPr="00902419">
              <w:rPr>
                <w:rFonts w:ascii="Titillium" w:hAnsi="Titillium"/>
                <w:sz w:val="16"/>
                <w:szCs w:val="16"/>
              </w:rPr>
              <w:t xml:space="preserve"> NR XVII/255/16 RADY MIASTA BIAŁYSTOK z dnia 18 stycznia 2016 r. w sprawie miejscowego planu zagospodarowania przestrzennego części osiedla Centrum</w:t>
            </w:r>
          </w:p>
          <w:p w14:paraId="14E6B040" w14:textId="77777777" w:rsidR="005E408A" w:rsidRPr="00902419" w:rsidRDefault="005E408A" w:rsidP="005E408A">
            <w:pPr>
              <w:rPr>
                <w:rFonts w:ascii="Titillium" w:hAnsi="Titillium"/>
                <w:sz w:val="16"/>
                <w:szCs w:val="16"/>
              </w:rPr>
            </w:pPr>
            <w:r w:rsidRPr="00902419">
              <w:rPr>
                <w:rFonts w:ascii="Titillium" w:hAnsi="Titillium"/>
                <w:sz w:val="16"/>
                <w:szCs w:val="16"/>
              </w:rPr>
              <w:t xml:space="preserve"> w Białymstoku (rejon Al. J. Piłsudskiego i ul. Żabiej):</w:t>
            </w:r>
          </w:p>
          <w:p w14:paraId="710451CD"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3U - minimalna powierzchnia biologicznie czynna – 10 %,</w:t>
            </w:r>
          </w:p>
          <w:p w14:paraId="50FF6163" w14:textId="26420FB3" w:rsidR="005E408A" w:rsidRPr="00902419" w:rsidRDefault="005E408A" w:rsidP="00911653">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 teren 4MW, U </w:t>
            </w:r>
            <w:r w:rsidR="00911653">
              <w:rPr>
                <w:rFonts w:ascii="Titillium" w:eastAsia="Times New Roman" w:hAnsi="Titillium" w:cs="Times New Roman"/>
                <w:sz w:val="16"/>
                <w:szCs w:val="16"/>
              </w:rPr>
              <w:t>-</w:t>
            </w:r>
            <w:r w:rsidRPr="00902419">
              <w:rPr>
                <w:rFonts w:ascii="Titillium" w:eastAsia="Times New Roman" w:hAnsi="Titillium" w:cs="Times New Roman"/>
                <w:sz w:val="16"/>
                <w:szCs w:val="16"/>
              </w:rPr>
              <w:t xml:space="preserve"> dla  części  terenu  wyznaczonych  liniami  wydzielenia  wewnętrznego  „A”,  „B”  i „C” – nie określa się,</w:t>
            </w:r>
          </w:p>
          <w:p w14:paraId="7047EF6C"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dla pozostałej części terenu – 25 %,</w:t>
            </w:r>
          </w:p>
          <w:p w14:paraId="12B907FC"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7ZP-KPL minimalną powierzchnię biologicznie czynną – 60 % działki budowlanej,</w:t>
            </w:r>
          </w:p>
          <w:p w14:paraId="5F740ADD" w14:textId="77777777" w:rsidR="005E408A" w:rsidRPr="00902419"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teren 8MW - - dla części terenu wyznaczonej linią wydzielenia wewnętrznego „A” – 10 %,</w:t>
            </w:r>
          </w:p>
          <w:p w14:paraId="7A74E4EB" w14:textId="01D1A298" w:rsidR="005E408A" w:rsidRPr="00D63FC3" w:rsidRDefault="005E408A" w:rsidP="005E408A">
            <w:pPr>
              <w:ind w:left="4"/>
              <w:jc w:val="both"/>
              <w:rPr>
                <w:rFonts w:ascii="Titillium" w:eastAsia="Times New Roman" w:hAnsi="Titillium" w:cs="Times New Roman"/>
                <w:sz w:val="16"/>
                <w:szCs w:val="16"/>
              </w:rPr>
            </w:pPr>
            <w:r w:rsidRPr="00902419">
              <w:rPr>
                <w:rFonts w:ascii="Titillium" w:eastAsia="Times New Roman" w:hAnsi="Titillium" w:cs="Times New Roman"/>
                <w:sz w:val="16"/>
                <w:szCs w:val="16"/>
              </w:rPr>
              <w:t>- dla pozostałej części terenu – 25 %,</w:t>
            </w:r>
          </w:p>
        </w:tc>
      </w:tr>
      <w:tr w:rsidR="005E408A" w:rsidRPr="00D63FC3" w14:paraId="4DEE4545" w14:textId="77777777" w:rsidTr="00033885">
        <w:tblPrEx>
          <w:tblCellMar>
            <w:top w:w="47" w:type="dxa"/>
            <w:right w:w="56" w:type="dxa"/>
          </w:tblCellMar>
        </w:tblPrEx>
        <w:trPr>
          <w:trHeight w:val="2218"/>
        </w:trPr>
        <w:tc>
          <w:tcPr>
            <w:tcW w:w="0" w:type="auto"/>
            <w:vMerge/>
            <w:tcBorders>
              <w:top w:val="nil"/>
              <w:left w:val="single" w:sz="4" w:space="0" w:color="000000"/>
              <w:bottom w:val="single" w:sz="4" w:space="0" w:color="000000"/>
              <w:right w:val="single" w:sz="4" w:space="0" w:color="000000"/>
            </w:tcBorders>
          </w:tcPr>
          <w:p w14:paraId="2EDB1B88" w14:textId="77777777" w:rsidR="005E408A" w:rsidRPr="00D63FC3" w:rsidRDefault="005E408A" w:rsidP="005E408A">
            <w:pPr>
              <w:rPr>
                <w:rFonts w:ascii="Titillium" w:hAnsi="Titillium"/>
                <w:sz w:val="16"/>
                <w:szCs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26BBFDF5" w14:textId="77777777" w:rsidR="005E408A" w:rsidRPr="00D63FC3" w:rsidRDefault="005E408A" w:rsidP="005E408A">
            <w:pPr>
              <w:ind w:left="2"/>
              <w:rPr>
                <w:rFonts w:ascii="Titillium" w:hAnsi="Titillium"/>
                <w:sz w:val="16"/>
                <w:szCs w:val="16"/>
              </w:rPr>
            </w:pPr>
            <w:r w:rsidRPr="00D63FC3">
              <w:rPr>
                <w:rFonts w:ascii="Titillium" w:eastAsia="Times New Roman" w:hAnsi="Titillium" w:cs="Times New Roman"/>
                <w:sz w:val="16"/>
                <w:szCs w:val="16"/>
              </w:rPr>
              <w:t xml:space="preserve">Minimalna liczba miejsc do parkowania </w:t>
            </w:r>
          </w:p>
        </w:tc>
        <w:tc>
          <w:tcPr>
            <w:tcW w:w="4800" w:type="dxa"/>
            <w:tcBorders>
              <w:top w:val="single" w:sz="4" w:space="0" w:color="000000"/>
              <w:left w:val="single" w:sz="4" w:space="0" w:color="000000"/>
              <w:bottom w:val="single" w:sz="4" w:space="0" w:color="000000"/>
              <w:right w:val="single" w:sz="4" w:space="0" w:color="000000"/>
            </w:tcBorders>
            <w:vAlign w:val="center"/>
          </w:tcPr>
          <w:p w14:paraId="39637812" w14:textId="77777777" w:rsidR="00FC4844" w:rsidRDefault="005E408A" w:rsidP="005E408A">
            <w:pPr>
              <w:jc w:val="both"/>
              <w:rPr>
                <w:rFonts w:ascii="Titillium" w:hAnsi="Titillium"/>
                <w:sz w:val="16"/>
                <w:szCs w:val="16"/>
              </w:rPr>
            </w:pPr>
            <w:r w:rsidRPr="00902419">
              <w:rPr>
                <w:rFonts w:ascii="Titillium" w:hAnsi="Titillium"/>
                <w:sz w:val="16"/>
                <w:szCs w:val="16"/>
              </w:rPr>
              <w:t>Zgodnie z UCHWAŁ</w:t>
            </w:r>
            <w:r w:rsidR="001F6721">
              <w:rPr>
                <w:rFonts w:ascii="Titillium" w:hAnsi="Titillium"/>
                <w:sz w:val="16"/>
                <w:szCs w:val="16"/>
              </w:rPr>
              <w:t>Ą</w:t>
            </w:r>
            <w:r w:rsidRPr="00902419">
              <w:rPr>
                <w:rFonts w:ascii="Titillium" w:hAnsi="Titillium"/>
                <w:sz w:val="16"/>
                <w:szCs w:val="16"/>
              </w:rPr>
              <w:t xml:space="preserve"> NR XLII/643/17 RADY MIASTA BIAŁYSTOK z dnia 30 października 2017r. w sprawie miejscowego planu zagospodarowania  przestrzennego części osiedla Centrum w Białymstoku </w:t>
            </w:r>
          </w:p>
          <w:p w14:paraId="0C6471B7" w14:textId="47699AC6" w:rsidR="005E408A" w:rsidRPr="00902419" w:rsidRDefault="005E408A" w:rsidP="005E408A">
            <w:pPr>
              <w:jc w:val="both"/>
              <w:rPr>
                <w:rFonts w:ascii="Titillium" w:hAnsi="Titillium"/>
                <w:sz w:val="16"/>
                <w:szCs w:val="16"/>
              </w:rPr>
            </w:pPr>
            <w:r w:rsidRPr="00902419">
              <w:rPr>
                <w:rFonts w:ascii="Titillium" w:hAnsi="Titillium"/>
                <w:sz w:val="16"/>
                <w:szCs w:val="16"/>
              </w:rPr>
              <w:t>(rejon Al. J. Piłsudskiego i ul. Czystej)</w:t>
            </w:r>
          </w:p>
          <w:p w14:paraId="046B27CA" w14:textId="77777777" w:rsidR="005E408A" w:rsidRPr="00902419" w:rsidRDefault="005E408A" w:rsidP="005E408A">
            <w:pPr>
              <w:jc w:val="both"/>
              <w:rPr>
                <w:rFonts w:ascii="Titillium" w:hAnsi="Titillium"/>
                <w:sz w:val="16"/>
                <w:szCs w:val="16"/>
              </w:rPr>
            </w:pPr>
            <w:r w:rsidRPr="00902419">
              <w:rPr>
                <w:rFonts w:ascii="Titillium" w:hAnsi="Titillium"/>
                <w:sz w:val="16"/>
                <w:szCs w:val="16"/>
              </w:rPr>
              <w:t>oraz</w:t>
            </w:r>
          </w:p>
          <w:p w14:paraId="78BB6048" w14:textId="77777777" w:rsidR="00FC4844" w:rsidRDefault="005E408A" w:rsidP="00FC4844">
            <w:pPr>
              <w:jc w:val="both"/>
              <w:rPr>
                <w:rFonts w:ascii="Titillium" w:hAnsi="Titillium"/>
                <w:sz w:val="16"/>
                <w:szCs w:val="16"/>
              </w:rPr>
            </w:pPr>
            <w:r w:rsidRPr="00902419">
              <w:rPr>
                <w:rFonts w:ascii="Titillium" w:hAnsi="Titillium"/>
                <w:sz w:val="16"/>
                <w:szCs w:val="16"/>
              </w:rPr>
              <w:t>Zgodnie z UCHWAŁ</w:t>
            </w:r>
            <w:r w:rsidR="001F6721">
              <w:rPr>
                <w:rFonts w:ascii="Titillium" w:hAnsi="Titillium"/>
                <w:sz w:val="16"/>
                <w:szCs w:val="16"/>
              </w:rPr>
              <w:t>Ą</w:t>
            </w:r>
            <w:r w:rsidRPr="00902419">
              <w:rPr>
                <w:rFonts w:ascii="Titillium" w:hAnsi="Titillium"/>
                <w:sz w:val="16"/>
                <w:szCs w:val="16"/>
              </w:rPr>
              <w:t xml:space="preserve"> NR XVII/255/16 RADY MIASTA BIAŁYSTOK z dnia 18 stycznia 2016 r. w sprawie miejscowego planu zagospodarowania przestrzennego części osiedla Centrum</w:t>
            </w:r>
            <w:r w:rsidR="00FC4844">
              <w:rPr>
                <w:rFonts w:ascii="Titillium" w:hAnsi="Titillium"/>
                <w:sz w:val="16"/>
                <w:szCs w:val="16"/>
              </w:rPr>
              <w:t xml:space="preserve"> </w:t>
            </w:r>
            <w:r w:rsidRPr="00902419">
              <w:rPr>
                <w:rFonts w:ascii="Titillium" w:hAnsi="Titillium"/>
                <w:sz w:val="16"/>
                <w:szCs w:val="16"/>
              </w:rPr>
              <w:t xml:space="preserve">w Białymstoku </w:t>
            </w:r>
          </w:p>
          <w:p w14:paraId="08FC2FC9" w14:textId="5910E8AF" w:rsidR="005E408A" w:rsidRPr="00902419" w:rsidRDefault="005E408A" w:rsidP="00FC4844">
            <w:pPr>
              <w:jc w:val="both"/>
              <w:rPr>
                <w:rFonts w:ascii="Titillium" w:hAnsi="Titillium"/>
                <w:sz w:val="16"/>
                <w:szCs w:val="16"/>
              </w:rPr>
            </w:pPr>
            <w:r w:rsidRPr="00902419">
              <w:rPr>
                <w:rFonts w:ascii="Titillium" w:hAnsi="Titillium"/>
                <w:sz w:val="16"/>
                <w:szCs w:val="16"/>
              </w:rPr>
              <w:t>(rejon Al. J. Piłsudskiego i ul. Żabiej):</w:t>
            </w:r>
          </w:p>
          <w:p w14:paraId="4DC1E665" w14:textId="77777777" w:rsidR="005E408A" w:rsidRPr="00902419" w:rsidRDefault="005E408A" w:rsidP="005E408A">
            <w:pPr>
              <w:jc w:val="both"/>
              <w:rPr>
                <w:rFonts w:ascii="Titillium" w:hAnsi="Titillium"/>
                <w:sz w:val="16"/>
                <w:szCs w:val="16"/>
              </w:rPr>
            </w:pPr>
          </w:p>
          <w:p w14:paraId="22B08942" w14:textId="77777777"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Minimalną liczbę miejsc do parkowania ustala  się  według wskaźników określonych w pkt. 3 – z zastrzeżeniem pkt. 1 i 2 oraz ustaleń szczegółowych:</w:t>
            </w:r>
          </w:p>
          <w:p w14:paraId="698E7746" w14:textId="77777777"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1. Miejsca  postojowe  dla  istniejącej  zabudowy  mieszkaniowej  wielorodzinnej  –  ustala  się  w granicach działki  budowlanej  oraz  w liniach  rozgraniczających  dróg  publicznych  i wewnętrznych,  bez  określania wskaźnika. </w:t>
            </w:r>
          </w:p>
          <w:p w14:paraId="1982B184" w14:textId="77777777"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2. Miejsca postojowe dla usług w parterze budynków istniejących, w nowych budynkach mieszkalnych wielorodzinnych oraz w innych przypadkach wskazanych w ustaleniach szczegółowych– ustala się w całości w liniach rozgraniczających dróg publicznych, bez określania wskaźnika. </w:t>
            </w:r>
          </w:p>
          <w:p w14:paraId="45E0DCCF" w14:textId="77777777"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3. Ustala się następujące minimalne wskaźniki urządzania miejsc postojowych, w tym miejsc postojowych przeznaczonych na parkowanie pojazdów zaopatrzonych w kartę parkingową: </w:t>
            </w:r>
          </w:p>
          <w:p w14:paraId="022DA381" w14:textId="78D5088A"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1) zabudowa mieszkaniowa wielorodzinna – 1,0 miejsca postojowego na 1 mieszkanie (nie dotyczy zmiany sposobu użytkowania na cele</w:t>
            </w:r>
            <w:r w:rsidR="00911653">
              <w:rPr>
                <w:rFonts w:ascii="Titillium" w:eastAsia="Times New Roman" w:hAnsi="Titillium" w:cs="Times New Roman"/>
                <w:sz w:val="16"/>
                <w:szCs w:val="16"/>
              </w:rPr>
              <w:t xml:space="preserve"> </w:t>
            </w:r>
            <w:r w:rsidRPr="00902419">
              <w:rPr>
                <w:rFonts w:ascii="Titillium" w:eastAsia="Times New Roman" w:hAnsi="Titillium" w:cs="Times New Roman"/>
                <w:sz w:val="16"/>
                <w:szCs w:val="16"/>
              </w:rPr>
              <w:t xml:space="preserve">mieszkaniowe lokali w istniejących budynkach); </w:t>
            </w:r>
          </w:p>
          <w:p w14:paraId="2BE64CE7" w14:textId="77777777"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2) zabudowa usługowa: </w:t>
            </w:r>
          </w:p>
          <w:p w14:paraId="3D2106DF" w14:textId="6D5CB701"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a) administracja, biura – 10 miejsc postojowych na 1000 m2</w:t>
            </w:r>
            <w:r w:rsidR="00FC4844">
              <w:rPr>
                <w:rFonts w:ascii="Titillium" w:eastAsia="Times New Roman" w:hAnsi="Titillium" w:cs="Times New Roman"/>
                <w:sz w:val="16"/>
                <w:szCs w:val="16"/>
              </w:rPr>
              <w:t xml:space="preserve"> </w:t>
            </w:r>
            <w:r w:rsidRPr="00902419">
              <w:rPr>
                <w:rFonts w:ascii="Titillium" w:eastAsia="Times New Roman" w:hAnsi="Titillium" w:cs="Times New Roman"/>
                <w:sz w:val="16"/>
                <w:szCs w:val="16"/>
              </w:rPr>
              <w:t xml:space="preserve">powierzchni użytkowej, </w:t>
            </w:r>
          </w:p>
          <w:p w14:paraId="37117865" w14:textId="77777777"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b) handel – 15 miejsc postojowych na 1000 m2  powierzchni użytkowej, </w:t>
            </w:r>
          </w:p>
          <w:p w14:paraId="34449D4C" w14:textId="135677C6"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c) obiekty gastronomiczne – 10 miejsc postojowych na 100 miejsc konsumpcyjnych </w:t>
            </w:r>
            <w:r w:rsidR="00FC4844">
              <w:rPr>
                <w:rFonts w:ascii="Titillium" w:eastAsia="Times New Roman" w:hAnsi="Titillium" w:cs="Times New Roman"/>
                <w:sz w:val="16"/>
                <w:szCs w:val="16"/>
              </w:rPr>
              <w:t>–</w:t>
            </w:r>
            <w:r w:rsidRPr="00902419">
              <w:rPr>
                <w:rFonts w:ascii="Titillium" w:eastAsia="Times New Roman" w:hAnsi="Titillium" w:cs="Times New Roman"/>
                <w:sz w:val="16"/>
                <w:szCs w:val="16"/>
              </w:rPr>
              <w:t xml:space="preserve"> </w:t>
            </w:r>
            <w:r w:rsidR="00FC4844">
              <w:rPr>
                <w:rFonts w:ascii="Titillium" w:eastAsia="Times New Roman" w:hAnsi="Titillium" w:cs="Times New Roman"/>
                <w:sz w:val="16"/>
                <w:szCs w:val="16"/>
              </w:rPr>
              <w:t>(</w:t>
            </w:r>
            <w:r w:rsidRPr="00902419">
              <w:rPr>
                <w:rFonts w:ascii="Titillium" w:hAnsi="Titillium"/>
                <w:sz w:val="16"/>
                <w:szCs w:val="16"/>
              </w:rPr>
              <w:t>UCHWAŁA NR XLII/643/17</w:t>
            </w:r>
            <w:r w:rsidR="00FC4844">
              <w:rPr>
                <w:rFonts w:ascii="Titillium" w:hAnsi="Titillium"/>
                <w:sz w:val="16"/>
                <w:szCs w:val="16"/>
              </w:rPr>
              <w:t>)</w:t>
            </w:r>
            <w:r w:rsidRPr="00902419">
              <w:rPr>
                <w:rFonts w:ascii="Titillium" w:eastAsia="Times New Roman" w:hAnsi="Titillium" w:cs="Times New Roman"/>
                <w:sz w:val="16"/>
                <w:szCs w:val="16"/>
              </w:rPr>
              <w:t xml:space="preserve"> ; obiekty gastronomiczne – 12 miejsc postojowych na 100 miejsc konsumpcyjnych</w:t>
            </w:r>
            <w:r w:rsidRPr="00902419">
              <w:rPr>
                <w:rFonts w:ascii="Titillium" w:hAnsi="Titillium"/>
                <w:sz w:val="16"/>
                <w:szCs w:val="16"/>
              </w:rPr>
              <w:t xml:space="preserve"> </w:t>
            </w:r>
            <w:r w:rsidR="00FC4844">
              <w:rPr>
                <w:rFonts w:ascii="Titillium" w:hAnsi="Titillium"/>
                <w:sz w:val="16"/>
                <w:szCs w:val="16"/>
              </w:rPr>
              <w:t>(</w:t>
            </w:r>
            <w:r w:rsidRPr="00902419">
              <w:rPr>
                <w:rFonts w:ascii="Titillium" w:hAnsi="Titillium"/>
                <w:sz w:val="16"/>
                <w:szCs w:val="16"/>
              </w:rPr>
              <w:t>UCHWAŁA NR XVII/255/16</w:t>
            </w:r>
            <w:r w:rsidR="00FC4844">
              <w:rPr>
                <w:rFonts w:ascii="Titillium" w:hAnsi="Titillium"/>
                <w:sz w:val="16"/>
                <w:szCs w:val="16"/>
              </w:rPr>
              <w:t>)</w:t>
            </w:r>
          </w:p>
          <w:p w14:paraId="475347F2" w14:textId="6E468F61"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d) hotele – 15 miejsc postojowych na 100 łóżek </w:t>
            </w:r>
            <w:r w:rsidR="00FC4844">
              <w:rPr>
                <w:rFonts w:ascii="Titillium" w:eastAsia="Times New Roman" w:hAnsi="Titillium" w:cs="Times New Roman"/>
                <w:sz w:val="16"/>
                <w:szCs w:val="16"/>
              </w:rPr>
              <w:t>(</w:t>
            </w:r>
            <w:r w:rsidRPr="00902419">
              <w:rPr>
                <w:rFonts w:ascii="Titillium" w:hAnsi="Titillium"/>
                <w:sz w:val="16"/>
                <w:szCs w:val="16"/>
              </w:rPr>
              <w:t>UCHWAŁA NR XLII/643/17</w:t>
            </w:r>
            <w:r w:rsidR="00FC4844">
              <w:rPr>
                <w:rFonts w:ascii="Titillium" w:hAnsi="Titillium"/>
                <w:sz w:val="16"/>
                <w:szCs w:val="16"/>
              </w:rPr>
              <w:t>)</w:t>
            </w:r>
            <w:r w:rsidRPr="00902419">
              <w:rPr>
                <w:rFonts w:ascii="Titillium" w:eastAsia="Times New Roman" w:hAnsi="Titillium" w:cs="Times New Roman"/>
                <w:sz w:val="16"/>
                <w:szCs w:val="16"/>
              </w:rPr>
              <w:t xml:space="preserve">; hotele – 20 miejsc postojowych na 100 łóżek </w:t>
            </w:r>
            <w:r w:rsidR="00FC4844">
              <w:rPr>
                <w:rFonts w:ascii="Titillium" w:eastAsia="Times New Roman" w:hAnsi="Titillium" w:cs="Times New Roman"/>
                <w:sz w:val="16"/>
                <w:szCs w:val="16"/>
              </w:rPr>
              <w:t>(</w:t>
            </w:r>
            <w:r w:rsidRPr="00902419">
              <w:rPr>
                <w:rFonts w:ascii="Titillium" w:hAnsi="Titillium"/>
                <w:sz w:val="16"/>
                <w:szCs w:val="16"/>
              </w:rPr>
              <w:t>UCHWAŁA NR XVII/255/16</w:t>
            </w:r>
            <w:r w:rsidR="00FC4844">
              <w:rPr>
                <w:rFonts w:ascii="Titillium" w:hAnsi="Titillium"/>
                <w:sz w:val="16"/>
                <w:szCs w:val="16"/>
              </w:rPr>
              <w:t>)</w:t>
            </w:r>
            <w:r w:rsidRPr="00902419">
              <w:rPr>
                <w:rFonts w:ascii="Titillium" w:eastAsia="Times New Roman" w:hAnsi="Titillium" w:cs="Times New Roman"/>
                <w:sz w:val="16"/>
                <w:szCs w:val="16"/>
              </w:rPr>
              <w:t>,</w:t>
            </w:r>
          </w:p>
          <w:p w14:paraId="3D8709FB" w14:textId="4FFE8E92"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e) opieka zdrowotna – 3 miejsca postojowe na 10 łóżek lub 8 miejsc postojowych na 1000 m2 powierzchni użytkowej</w:t>
            </w:r>
            <w:r w:rsidRPr="00902419">
              <w:rPr>
                <w:rFonts w:ascii="Titillium" w:hAnsi="Titillium"/>
                <w:sz w:val="16"/>
                <w:szCs w:val="16"/>
              </w:rPr>
              <w:t xml:space="preserve"> </w:t>
            </w:r>
            <w:r w:rsidR="00FC4844">
              <w:rPr>
                <w:rFonts w:ascii="Titillium" w:hAnsi="Titillium"/>
                <w:sz w:val="16"/>
                <w:szCs w:val="16"/>
              </w:rPr>
              <w:t>(</w:t>
            </w:r>
            <w:r w:rsidRPr="00902419">
              <w:rPr>
                <w:rFonts w:ascii="Titillium" w:hAnsi="Titillium"/>
                <w:sz w:val="16"/>
                <w:szCs w:val="16"/>
              </w:rPr>
              <w:t>UCHWAŁA NR XLII/643/17</w:t>
            </w:r>
            <w:r w:rsidR="00FC4844">
              <w:rPr>
                <w:rFonts w:ascii="Titillium" w:hAnsi="Titillium"/>
                <w:sz w:val="16"/>
                <w:szCs w:val="16"/>
              </w:rPr>
              <w:t>)</w:t>
            </w:r>
            <w:r w:rsidRPr="00902419">
              <w:rPr>
                <w:rFonts w:ascii="Titillium" w:eastAsia="Times New Roman" w:hAnsi="Titillium" w:cs="Times New Roman"/>
                <w:sz w:val="16"/>
                <w:szCs w:val="16"/>
              </w:rPr>
              <w:t xml:space="preserve">; opieka  zdrowotna  -  2 miejsca  postojowe  na  10 łóżek  lub  10 miejsc  postojowych  na  1000 m2 powierzchni użytkowej </w:t>
            </w:r>
            <w:r w:rsidR="00FC4844">
              <w:rPr>
                <w:rFonts w:ascii="Titillium" w:eastAsia="Times New Roman" w:hAnsi="Titillium" w:cs="Times New Roman"/>
                <w:sz w:val="16"/>
                <w:szCs w:val="16"/>
              </w:rPr>
              <w:t>(</w:t>
            </w:r>
            <w:r w:rsidRPr="00902419">
              <w:rPr>
                <w:rFonts w:ascii="Titillium" w:hAnsi="Titillium"/>
                <w:sz w:val="16"/>
                <w:szCs w:val="16"/>
              </w:rPr>
              <w:t>UCHWAŁA NR XVII/255/16</w:t>
            </w:r>
            <w:r w:rsidR="00FC4844">
              <w:rPr>
                <w:rFonts w:ascii="Titillium" w:hAnsi="Titillium"/>
                <w:sz w:val="16"/>
                <w:szCs w:val="16"/>
              </w:rPr>
              <w:t>)</w:t>
            </w:r>
          </w:p>
          <w:p w14:paraId="0096B7E8" w14:textId="662873B3"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f) teatry i kina - 15 miejsc postojowych na 100 miejsc</w:t>
            </w:r>
            <w:r w:rsidRPr="00902419">
              <w:rPr>
                <w:rFonts w:ascii="Titillium" w:hAnsi="Titillium"/>
                <w:sz w:val="16"/>
                <w:szCs w:val="16"/>
              </w:rPr>
              <w:t xml:space="preserve"> </w:t>
            </w:r>
            <w:r w:rsidR="00FC4844">
              <w:rPr>
                <w:rFonts w:ascii="Titillium" w:hAnsi="Titillium"/>
                <w:sz w:val="16"/>
                <w:szCs w:val="16"/>
              </w:rPr>
              <w:t>(</w:t>
            </w:r>
            <w:r w:rsidRPr="00902419">
              <w:rPr>
                <w:rFonts w:ascii="Titillium" w:hAnsi="Titillium"/>
                <w:sz w:val="16"/>
                <w:szCs w:val="16"/>
              </w:rPr>
              <w:t>UCHWAŁA NR XLII/643/17</w:t>
            </w:r>
            <w:r w:rsidR="00FC4844">
              <w:rPr>
                <w:rFonts w:ascii="Titillium" w:hAnsi="Titillium"/>
                <w:sz w:val="16"/>
                <w:szCs w:val="16"/>
              </w:rPr>
              <w:t>)</w:t>
            </w:r>
            <w:r w:rsidRPr="00902419">
              <w:rPr>
                <w:rFonts w:ascii="Titillium" w:eastAsia="Times New Roman" w:hAnsi="Titillium" w:cs="Times New Roman"/>
                <w:sz w:val="16"/>
                <w:szCs w:val="16"/>
              </w:rPr>
              <w:t xml:space="preserve"> , teatry i kina – 12 miejsc postojowych na 100 miejsc </w:t>
            </w:r>
            <w:r w:rsidR="00FC4844">
              <w:rPr>
                <w:rFonts w:ascii="Titillium" w:eastAsia="Times New Roman" w:hAnsi="Titillium" w:cs="Times New Roman"/>
                <w:sz w:val="16"/>
                <w:szCs w:val="16"/>
              </w:rPr>
              <w:t>(</w:t>
            </w:r>
            <w:r w:rsidRPr="00902419">
              <w:rPr>
                <w:rFonts w:ascii="Titillium" w:hAnsi="Titillium"/>
                <w:sz w:val="16"/>
                <w:szCs w:val="16"/>
              </w:rPr>
              <w:t>UCHWAŁA NR XVII/255/16</w:t>
            </w:r>
            <w:r w:rsidR="00FC4844">
              <w:rPr>
                <w:rFonts w:ascii="Titillium" w:hAnsi="Titillium"/>
                <w:sz w:val="16"/>
                <w:szCs w:val="16"/>
              </w:rPr>
              <w:t>)</w:t>
            </w:r>
            <w:r w:rsidRPr="00902419">
              <w:rPr>
                <w:rFonts w:ascii="Titillium" w:eastAsia="Times New Roman" w:hAnsi="Titillium" w:cs="Times New Roman"/>
                <w:sz w:val="16"/>
                <w:szCs w:val="16"/>
              </w:rPr>
              <w:t>,</w:t>
            </w:r>
          </w:p>
          <w:p w14:paraId="3119EAF7" w14:textId="610FD027"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 xml:space="preserve">g) żłobki, przedszkola, szkoły – 10 miejsc postojowych na 100 zatrudnionych </w:t>
            </w:r>
            <w:r w:rsidR="00FC4844">
              <w:rPr>
                <w:rFonts w:ascii="Titillium" w:eastAsia="Times New Roman" w:hAnsi="Titillium" w:cs="Times New Roman"/>
                <w:sz w:val="16"/>
                <w:szCs w:val="16"/>
              </w:rPr>
              <w:t>(</w:t>
            </w:r>
            <w:r w:rsidRPr="00902419">
              <w:rPr>
                <w:rFonts w:ascii="Titillium" w:hAnsi="Titillium"/>
                <w:sz w:val="16"/>
                <w:szCs w:val="16"/>
              </w:rPr>
              <w:t>UCHWAŁA NR XLII/643/17</w:t>
            </w:r>
            <w:r w:rsidR="00FC4844">
              <w:rPr>
                <w:rFonts w:ascii="Titillium" w:hAnsi="Titillium"/>
                <w:sz w:val="16"/>
                <w:szCs w:val="16"/>
              </w:rPr>
              <w:t>)</w:t>
            </w:r>
            <w:r w:rsidRPr="00902419">
              <w:rPr>
                <w:rFonts w:ascii="Titillium" w:eastAsia="Times New Roman" w:hAnsi="Titillium" w:cs="Times New Roman"/>
                <w:sz w:val="16"/>
                <w:szCs w:val="16"/>
              </w:rPr>
              <w:t xml:space="preserve">; żłobki,  przedszkola,  szkoły,  z wyjątkiem  szkół  wyższych  –  15 miejsc  postojowych  na </w:t>
            </w:r>
          </w:p>
          <w:p w14:paraId="4A57DB99" w14:textId="49B6D2F7" w:rsidR="005E408A" w:rsidRPr="00902419" w:rsidRDefault="005E408A" w:rsidP="005E408A">
            <w:pPr>
              <w:rPr>
                <w:rFonts w:ascii="Titillium" w:hAnsi="Titillium"/>
                <w:sz w:val="16"/>
                <w:szCs w:val="16"/>
              </w:rPr>
            </w:pPr>
            <w:r w:rsidRPr="00902419">
              <w:rPr>
                <w:rFonts w:ascii="Titillium" w:eastAsia="Times New Roman" w:hAnsi="Titillium" w:cs="Times New Roman"/>
                <w:sz w:val="16"/>
                <w:szCs w:val="16"/>
              </w:rPr>
              <w:t>100 zatrudnionych</w:t>
            </w:r>
            <w:r w:rsidRPr="00902419">
              <w:rPr>
                <w:rFonts w:ascii="Titillium" w:hAnsi="Titillium"/>
                <w:sz w:val="16"/>
                <w:szCs w:val="16"/>
              </w:rPr>
              <w:t xml:space="preserve"> </w:t>
            </w:r>
            <w:r w:rsidR="00FC4844">
              <w:rPr>
                <w:rFonts w:ascii="Titillium" w:hAnsi="Titillium"/>
                <w:sz w:val="16"/>
                <w:szCs w:val="16"/>
              </w:rPr>
              <w:t>(</w:t>
            </w:r>
            <w:r w:rsidRPr="00902419">
              <w:rPr>
                <w:rFonts w:ascii="Titillium" w:hAnsi="Titillium"/>
                <w:sz w:val="16"/>
                <w:szCs w:val="16"/>
              </w:rPr>
              <w:t>UCHWAŁA NR XVII/255/16</w:t>
            </w:r>
            <w:r w:rsidR="00FC4844">
              <w:rPr>
                <w:rFonts w:ascii="Titillium" w:hAnsi="Titillium"/>
                <w:sz w:val="16"/>
                <w:szCs w:val="16"/>
              </w:rPr>
              <w:t>)</w:t>
            </w:r>
          </w:p>
          <w:p w14:paraId="69F5307C" w14:textId="05C839DB" w:rsidR="005E408A" w:rsidRPr="00FC4844" w:rsidRDefault="005E408A" w:rsidP="005E408A">
            <w:pPr>
              <w:rPr>
                <w:rFonts w:ascii="Titillium" w:hAnsi="Titillium"/>
                <w:sz w:val="16"/>
                <w:szCs w:val="16"/>
              </w:rPr>
            </w:pPr>
            <w:r w:rsidRPr="00902419">
              <w:rPr>
                <w:rFonts w:ascii="Titillium" w:hAnsi="Titillium"/>
                <w:sz w:val="16"/>
                <w:szCs w:val="16"/>
              </w:rPr>
              <w:t>h) szkoły  wyższe  –  10 miejsc  postojowych  na  100 studentów  i 20 miejsc  postojowych  na 100 pracowników;</w:t>
            </w:r>
          </w:p>
          <w:p w14:paraId="2A5E4868" w14:textId="6C128300"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3) usługi inne niż wymienione w podpunkcie 2) – 10 miejsc</w:t>
            </w:r>
            <w:r w:rsidR="00FC4844">
              <w:rPr>
                <w:rFonts w:ascii="Titillium" w:eastAsia="Times New Roman" w:hAnsi="Titillium" w:cs="Times New Roman"/>
                <w:sz w:val="16"/>
                <w:szCs w:val="16"/>
              </w:rPr>
              <w:t xml:space="preserve"> </w:t>
            </w:r>
            <w:r w:rsidRPr="00902419">
              <w:rPr>
                <w:rFonts w:ascii="Titillium" w:eastAsia="Times New Roman" w:hAnsi="Titillium" w:cs="Times New Roman"/>
                <w:sz w:val="16"/>
                <w:szCs w:val="16"/>
              </w:rPr>
              <w:t xml:space="preserve">postojowych na 1000 m2  powierzchni użytkowej; </w:t>
            </w:r>
          </w:p>
          <w:p w14:paraId="4443FEE2" w14:textId="1672FB66" w:rsidR="005E408A" w:rsidRPr="00902419" w:rsidRDefault="005E408A" w:rsidP="005E408A">
            <w:pPr>
              <w:rPr>
                <w:rFonts w:ascii="Titillium" w:eastAsia="Times New Roman" w:hAnsi="Titillium" w:cs="Times New Roman"/>
                <w:sz w:val="16"/>
                <w:szCs w:val="16"/>
              </w:rPr>
            </w:pPr>
            <w:r w:rsidRPr="00902419">
              <w:rPr>
                <w:rFonts w:ascii="Titillium" w:eastAsia="Times New Roman" w:hAnsi="Titillium" w:cs="Times New Roman"/>
                <w:sz w:val="16"/>
                <w:szCs w:val="16"/>
              </w:rPr>
              <w:t>4) ustala  się,  że  do  powierzchni  użytkowej,  nie wlicza  się  powierzchni  użytkowej  komunikacji,  zapleczy magazynowych, zapleczy socjalnych oraz powierzchni projektowanych miejsc</w:t>
            </w:r>
            <w:r w:rsidR="00FC4844">
              <w:rPr>
                <w:rFonts w:ascii="Titillium" w:eastAsia="Times New Roman" w:hAnsi="Titillium" w:cs="Times New Roman"/>
                <w:sz w:val="16"/>
                <w:szCs w:val="16"/>
              </w:rPr>
              <w:t xml:space="preserve"> </w:t>
            </w:r>
            <w:r w:rsidRPr="00902419">
              <w:rPr>
                <w:rFonts w:ascii="Titillium" w:eastAsia="Times New Roman" w:hAnsi="Titillium" w:cs="Times New Roman"/>
                <w:sz w:val="16"/>
                <w:szCs w:val="16"/>
              </w:rPr>
              <w:t xml:space="preserve">postojowych wbudowanych. </w:t>
            </w:r>
          </w:p>
          <w:p w14:paraId="150A79C5" w14:textId="630220D2" w:rsidR="005E408A" w:rsidRPr="00D63FC3" w:rsidRDefault="005E408A" w:rsidP="00FC4844">
            <w:pPr>
              <w:rPr>
                <w:rFonts w:ascii="Titillium" w:eastAsia="Times New Roman" w:hAnsi="Titillium" w:cs="Times New Roman"/>
                <w:sz w:val="16"/>
                <w:szCs w:val="16"/>
              </w:rPr>
            </w:pPr>
            <w:r w:rsidRPr="00902419">
              <w:rPr>
                <w:rFonts w:ascii="Titillium" w:eastAsia="Times New Roman" w:hAnsi="Titillium" w:cs="Times New Roman"/>
                <w:sz w:val="16"/>
                <w:szCs w:val="16"/>
              </w:rPr>
              <w:t>5. Na całym obszarze objętym planem – z wyjątkiem terenów o symbolach: 1KPL, ZP, 4.1KPL,ZP, 13ZP, KX, 18.1KPL, ZP, 25ZP, 7ZP,KPL,  17ZP, dopuszcza się realizację miejsc postojowych w formie budynków w całości lub w części o funkcji parkingowej (garażowej), parkingów (garaży) wielopoziomowych oraz podziemnych</w:t>
            </w:r>
          </w:p>
        </w:tc>
      </w:tr>
    </w:tbl>
    <w:p w14:paraId="54EEFB2B" w14:textId="2B866241" w:rsidR="00095A92" w:rsidRPr="00D63FC3" w:rsidRDefault="008B1520" w:rsidP="003D4442">
      <w:pPr>
        <w:pStyle w:val="Akapitzlist"/>
        <w:numPr>
          <w:ilvl w:val="0"/>
          <w:numId w:val="11"/>
        </w:numPr>
        <w:tabs>
          <w:tab w:val="left" w:pos="384"/>
        </w:tabs>
        <w:spacing w:after="0"/>
        <w:ind w:right="108"/>
        <w:rPr>
          <w:rFonts w:ascii="Titillium" w:hAnsi="Titillium"/>
          <w:sz w:val="8"/>
          <w:szCs w:val="8"/>
        </w:rPr>
      </w:pPr>
      <w:r w:rsidRPr="00D63FC3">
        <w:rPr>
          <w:rFonts w:ascii="Titillium" w:hAnsi="Titillium"/>
          <w:sz w:val="8"/>
          <w:szCs w:val="8"/>
        </w:rPr>
        <w:lastRenderedPageBreak/>
        <w:t xml:space="preserve">W przypadku braku miejscowego planu zagospodarowania przestrzennego umieszcza się </w:t>
      </w:r>
      <w:r w:rsidR="00E51970" w:rsidRPr="00D63FC3">
        <w:rPr>
          <w:rFonts w:ascii="Titillium" w:hAnsi="Titillium"/>
          <w:sz w:val="8"/>
          <w:szCs w:val="8"/>
        </w:rPr>
        <w:t>informację</w:t>
      </w:r>
      <w:r w:rsidR="003D4442" w:rsidRPr="00D63FC3">
        <w:rPr>
          <w:rFonts w:ascii="Titillium" w:hAnsi="Titillium"/>
          <w:sz w:val="8"/>
          <w:szCs w:val="8"/>
        </w:rPr>
        <w:t xml:space="preserve"> </w:t>
      </w:r>
      <w:r w:rsidR="00E51970" w:rsidRPr="00D63FC3">
        <w:rPr>
          <w:rFonts w:ascii="Titillium" w:hAnsi="Titillium"/>
          <w:sz w:val="8"/>
          <w:szCs w:val="8"/>
        </w:rPr>
        <w:t>„Brak planu</w:t>
      </w:r>
      <w:r w:rsidRPr="00D63FC3">
        <w:rPr>
          <w:rFonts w:ascii="Titillium" w:hAnsi="Titillium"/>
          <w:sz w:val="8"/>
          <w:szCs w:val="8"/>
        </w:rPr>
        <w:t>„</w:t>
      </w:r>
      <w:r w:rsidR="003D4442" w:rsidRPr="00D63FC3">
        <w:rPr>
          <w:rFonts w:ascii="Titillium" w:hAnsi="Titillium"/>
          <w:sz w:val="8"/>
          <w:szCs w:val="8"/>
        </w:rPr>
        <w:t>.</w:t>
      </w:r>
    </w:p>
    <w:p w14:paraId="1482EB7E" w14:textId="77777777" w:rsidR="000617DA" w:rsidRPr="00D63FC3" w:rsidRDefault="000617DA">
      <w:pPr>
        <w:spacing w:after="0"/>
        <w:ind w:left="-1020" w:right="108"/>
        <w:rPr>
          <w:rFonts w:ascii="Titillium" w:hAnsi="Titillium"/>
        </w:rPr>
      </w:pPr>
    </w:p>
    <w:p w14:paraId="33282905" w14:textId="77777777" w:rsidR="003D4442" w:rsidRPr="00D63FC3" w:rsidRDefault="003D4442">
      <w:pPr>
        <w:spacing w:after="0"/>
        <w:ind w:left="-1020" w:right="108"/>
        <w:rPr>
          <w:rFonts w:ascii="Titillium" w:hAnsi="Titillium"/>
        </w:rPr>
      </w:pPr>
    </w:p>
    <w:tbl>
      <w:tblPr>
        <w:tblStyle w:val="TableGrid"/>
        <w:tblpPr w:leftFromText="141" w:rightFromText="141" w:vertAnchor="text" w:tblpX="137" w:tblpY="1"/>
        <w:tblOverlap w:val="never"/>
        <w:tblW w:w="15284" w:type="dxa"/>
        <w:tblInd w:w="0" w:type="dxa"/>
        <w:tblCellMar>
          <w:top w:w="47" w:type="dxa"/>
          <w:left w:w="107" w:type="dxa"/>
          <w:right w:w="56" w:type="dxa"/>
        </w:tblCellMar>
        <w:tblLook w:val="04A0" w:firstRow="1" w:lastRow="0" w:firstColumn="1" w:lastColumn="0" w:noHBand="0" w:noVBand="1"/>
      </w:tblPr>
      <w:tblGrid>
        <w:gridCol w:w="2830"/>
        <w:gridCol w:w="1985"/>
        <w:gridCol w:w="4819"/>
        <w:gridCol w:w="5650"/>
      </w:tblGrid>
      <w:tr w:rsidR="00794ED2" w:rsidRPr="00D63FC3" w14:paraId="67BCE789" w14:textId="77777777" w:rsidTr="00794ED2">
        <w:trPr>
          <w:gridAfter w:val="1"/>
          <w:wAfter w:w="5650" w:type="dxa"/>
          <w:trHeight w:val="1033"/>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30051BEC" w14:textId="77777777" w:rsidR="000617DA" w:rsidRPr="00D63FC3" w:rsidRDefault="000617DA" w:rsidP="00794ED2">
            <w:pPr>
              <w:ind w:right="188"/>
              <w:rPr>
                <w:rFonts w:ascii="Titillium" w:hAnsi="Titillium"/>
                <w:sz w:val="16"/>
                <w:szCs w:val="16"/>
              </w:rPr>
            </w:pPr>
            <w:r w:rsidRPr="00D63FC3">
              <w:rPr>
                <w:rFonts w:ascii="Titillium" w:eastAsia="Times New Roman" w:hAnsi="Titillium" w:cs="Times New Roman"/>
                <w:sz w:val="16"/>
                <w:szCs w:val="16"/>
              </w:rPr>
              <w:t xml:space="preserve">Ustalenia decyzji o warunkach zabudowy albo decyzji o ustaleniu lokalizacji inwestycji celu publicznego dla terenu objętego </w:t>
            </w:r>
            <w:r w:rsidRPr="00D63FC3">
              <w:rPr>
                <w:rFonts w:ascii="Titillium" w:eastAsia="Times New Roman" w:hAnsi="Titillium" w:cs="Times New Roman"/>
                <w:sz w:val="16"/>
                <w:szCs w:val="16"/>
              </w:rPr>
              <w:lastRenderedPageBreak/>
              <w:t xml:space="preserve">przedsięwzięciem deweloperskim lub zadaniem inwestycyjnym w przypadku braku miejscowego planu zagospodarowania przestrzennego </w:t>
            </w:r>
          </w:p>
        </w:tc>
        <w:tc>
          <w:tcPr>
            <w:tcW w:w="1985" w:type="dxa"/>
            <w:tcBorders>
              <w:top w:val="single" w:sz="4" w:space="0" w:color="000000"/>
              <w:left w:val="single" w:sz="4" w:space="0" w:color="000000"/>
              <w:bottom w:val="single" w:sz="4" w:space="0" w:color="000000"/>
              <w:right w:val="single" w:sz="4" w:space="0" w:color="000000"/>
            </w:tcBorders>
          </w:tcPr>
          <w:p w14:paraId="4419CA25" w14:textId="220B75F9" w:rsidR="000617DA" w:rsidRPr="00D63FC3" w:rsidRDefault="000617DA" w:rsidP="00794ED2">
            <w:pPr>
              <w:spacing w:after="126"/>
              <w:ind w:left="2"/>
              <w:rPr>
                <w:rFonts w:ascii="Titillium" w:hAnsi="Titillium"/>
                <w:sz w:val="16"/>
                <w:szCs w:val="16"/>
              </w:rPr>
            </w:pPr>
            <w:r w:rsidRPr="00D63FC3">
              <w:rPr>
                <w:rFonts w:ascii="Titillium" w:eastAsia="Times New Roman" w:hAnsi="Titillium" w:cs="Times New Roman"/>
                <w:sz w:val="16"/>
                <w:szCs w:val="16"/>
              </w:rPr>
              <w:lastRenderedPageBreak/>
              <w:t xml:space="preserve">Funkcja zabudowy i zagospodarowania terenu </w:t>
            </w:r>
          </w:p>
        </w:tc>
        <w:tc>
          <w:tcPr>
            <w:tcW w:w="4819" w:type="dxa"/>
            <w:tcBorders>
              <w:top w:val="single" w:sz="4" w:space="0" w:color="000000"/>
              <w:left w:val="single" w:sz="4" w:space="0" w:color="000000"/>
              <w:bottom w:val="single" w:sz="4" w:space="0" w:color="000000"/>
              <w:right w:val="single" w:sz="4" w:space="0" w:color="000000"/>
            </w:tcBorders>
          </w:tcPr>
          <w:p w14:paraId="0BDE3C53" w14:textId="1497555D" w:rsidR="000617DA" w:rsidRPr="00D63FC3" w:rsidRDefault="00DB5E12" w:rsidP="00794ED2">
            <w:pPr>
              <w:jc w:val="both"/>
              <w:rPr>
                <w:rFonts w:ascii="Titillium" w:hAnsi="Titillium"/>
                <w:sz w:val="16"/>
                <w:szCs w:val="16"/>
              </w:rPr>
            </w:pPr>
            <w:r w:rsidRPr="00DB5E12">
              <w:rPr>
                <w:rFonts w:ascii="Titillium" w:hAnsi="Titillium"/>
                <w:sz w:val="16"/>
                <w:szCs w:val="16"/>
              </w:rPr>
              <w:t>Sposób użytkowania obiektów budowlanych oraz zagospodarowania terenu.</w:t>
            </w:r>
          </w:p>
        </w:tc>
      </w:tr>
      <w:tr w:rsidR="00F61396" w:rsidRPr="00580FE5" w14:paraId="2194DBD9" w14:textId="77777777" w:rsidTr="00794ED2">
        <w:trPr>
          <w:gridAfter w:val="1"/>
          <w:wAfter w:w="5650" w:type="dxa"/>
          <w:trHeight w:val="528"/>
        </w:trPr>
        <w:tc>
          <w:tcPr>
            <w:tcW w:w="2830" w:type="dxa"/>
            <w:vMerge/>
            <w:tcBorders>
              <w:top w:val="nil"/>
              <w:left w:val="single" w:sz="4" w:space="0" w:color="000000"/>
              <w:bottom w:val="nil"/>
              <w:right w:val="single" w:sz="4" w:space="0" w:color="000000"/>
            </w:tcBorders>
          </w:tcPr>
          <w:p w14:paraId="550B5320" w14:textId="77777777" w:rsidR="000617DA" w:rsidRPr="00B242B5" w:rsidRDefault="000617DA" w:rsidP="00794ED2">
            <w:pPr>
              <w:rPr>
                <w:rFonts w:ascii="Titillium" w:hAnsi="Titillium"/>
                <w:sz w:val="16"/>
                <w:szCs w:val="16"/>
              </w:rPr>
            </w:pP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2E80E318" w14:textId="77777777" w:rsidR="000617DA" w:rsidRPr="00B242B5" w:rsidRDefault="000617DA" w:rsidP="00794ED2">
            <w:pPr>
              <w:ind w:left="2"/>
              <w:rPr>
                <w:rFonts w:ascii="Titillium" w:hAnsi="Titillium"/>
                <w:sz w:val="16"/>
                <w:szCs w:val="16"/>
              </w:rPr>
            </w:pPr>
            <w:r w:rsidRPr="00B242B5">
              <w:rPr>
                <w:rFonts w:ascii="Titillium" w:eastAsia="Times New Roman" w:hAnsi="Titillium" w:cs="Times New Roman"/>
                <w:sz w:val="16"/>
                <w:szCs w:val="16"/>
              </w:rPr>
              <w:t xml:space="preserve">Cechy zabudowy i zagospodarowania terenu: </w:t>
            </w:r>
          </w:p>
        </w:tc>
      </w:tr>
      <w:tr w:rsidR="00794ED2" w:rsidRPr="00580FE5" w14:paraId="194590EC" w14:textId="77777777" w:rsidTr="00794ED2">
        <w:trPr>
          <w:gridAfter w:val="1"/>
          <w:wAfter w:w="5650" w:type="dxa"/>
          <w:trHeight w:val="528"/>
        </w:trPr>
        <w:tc>
          <w:tcPr>
            <w:tcW w:w="2830" w:type="dxa"/>
            <w:vMerge/>
            <w:tcBorders>
              <w:top w:val="nil"/>
              <w:left w:val="single" w:sz="4" w:space="0" w:color="000000"/>
              <w:bottom w:val="nil"/>
              <w:right w:val="single" w:sz="4" w:space="0" w:color="000000"/>
            </w:tcBorders>
          </w:tcPr>
          <w:p w14:paraId="66C2DC49" w14:textId="77777777" w:rsidR="000617DA" w:rsidRPr="00B242B5" w:rsidRDefault="000617DA"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C89CF29" w14:textId="77777777" w:rsidR="000617DA" w:rsidRPr="00B242B5" w:rsidRDefault="000617DA" w:rsidP="00794ED2">
            <w:pPr>
              <w:ind w:firstLine="7"/>
              <w:rPr>
                <w:rFonts w:ascii="Titillium" w:hAnsi="Titillium"/>
                <w:sz w:val="16"/>
                <w:szCs w:val="16"/>
              </w:rPr>
            </w:pPr>
            <w:r w:rsidRPr="00B242B5">
              <w:rPr>
                <w:rFonts w:ascii="Titillium" w:eastAsia="Times New Roman" w:hAnsi="Titillium" w:cs="Times New Roman"/>
                <w:sz w:val="16"/>
                <w:szCs w:val="16"/>
              </w:rPr>
              <w:t xml:space="preserve">gabaryty </w:t>
            </w:r>
          </w:p>
        </w:tc>
        <w:tc>
          <w:tcPr>
            <w:tcW w:w="4819" w:type="dxa"/>
            <w:tcBorders>
              <w:top w:val="single" w:sz="4" w:space="0" w:color="000000"/>
              <w:left w:val="single" w:sz="4" w:space="0" w:color="000000"/>
              <w:bottom w:val="single" w:sz="4" w:space="0" w:color="000000"/>
              <w:right w:val="single" w:sz="4" w:space="0" w:color="000000"/>
            </w:tcBorders>
            <w:vAlign w:val="center"/>
          </w:tcPr>
          <w:p w14:paraId="2DDD2E4A" w14:textId="77777777" w:rsidR="000617DA" w:rsidRPr="00D63FC3" w:rsidRDefault="000617DA" w:rsidP="00794ED2">
            <w:pPr>
              <w:ind w:left="4"/>
              <w:rPr>
                <w:rFonts w:ascii="Titillium" w:hAnsi="Titillium"/>
                <w:sz w:val="16"/>
                <w:szCs w:val="16"/>
              </w:rPr>
            </w:pPr>
            <w:r w:rsidRPr="00D63FC3">
              <w:rPr>
                <w:rFonts w:ascii="Titillium" w:eastAsia="Times New Roman" w:hAnsi="Titillium" w:cs="Times New Roman"/>
                <w:sz w:val="16"/>
                <w:szCs w:val="16"/>
              </w:rPr>
              <w:t xml:space="preserve"> nie dotyczy</w:t>
            </w:r>
          </w:p>
        </w:tc>
      </w:tr>
      <w:tr w:rsidR="00794ED2" w:rsidRPr="00580FE5" w14:paraId="4B110A5B" w14:textId="77777777" w:rsidTr="00794ED2">
        <w:trPr>
          <w:gridAfter w:val="1"/>
          <w:wAfter w:w="5650" w:type="dxa"/>
          <w:trHeight w:val="528"/>
        </w:trPr>
        <w:tc>
          <w:tcPr>
            <w:tcW w:w="2830" w:type="dxa"/>
            <w:vMerge/>
            <w:tcBorders>
              <w:top w:val="nil"/>
              <w:left w:val="single" w:sz="4" w:space="0" w:color="000000"/>
              <w:bottom w:val="nil"/>
              <w:right w:val="single" w:sz="4" w:space="0" w:color="000000"/>
            </w:tcBorders>
          </w:tcPr>
          <w:p w14:paraId="1CD55E84" w14:textId="77777777" w:rsidR="000617DA" w:rsidRPr="00580FE5" w:rsidRDefault="000617DA" w:rsidP="00794ED2">
            <w:pPr>
              <w:rPr>
                <w:rFonts w:ascii="Titillium" w:hAnsi="Titillium"/>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097AAF2" w14:textId="77777777" w:rsidR="000617DA" w:rsidRPr="00B242B5" w:rsidRDefault="000617DA" w:rsidP="00794ED2">
            <w:pPr>
              <w:ind w:left="2"/>
              <w:rPr>
                <w:rFonts w:ascii="Titillium" w:hAnsi="Titillium"/>
                <w:sz w:val="16"/>
                <w:szCs w:val="16"/>
              </w:rPr>
            </w:pPr>
            <w:r w:rsidRPr="00B242B5">
              <w:rPr>
                <w:rFonts w:ascii="Titillium" w:eastAsia="Times New Roman" w:hAnsi="Titillium" w:cs="Times New Roman"/>
                <w:sz w:val="16"/>
                <w:szCs w:val="16"/>
              </w:rPr>
              <w:t xml:space="preserve">forma architektoniczna </w:t>
            </w:r>
          </w:p>
        </w:tc>
        <w:tc>
          <w:tcPr>
            <w:tcW w:w="4819" w:type="dxa"/>
            <w:tcBorders>
              <w:top w:val="single" w:sz="4" w:space="0" w:color="000000"/>
              <w:left w:val="single" w:sz="4" w:space="0" w:color="000000"/>
              <w:bottom w:val="single" w:sz="4" w:space="0" w:color="000000"/>
              <w:right w:val="single" w:sz="4" w:space="0" w:color="000000"/>
            </w:tcBorders>
            <w:vAlign w:val="center"/>
          </w:tcPr>
          <w:p w14:paraId="1585DA36" w14:textId="77777777" w:rsidR="000617DA" w:rsidRPr="00D63FC3" w:rsidRDefault="000617DA" w:rsidP="00794ED2">
            <w:pPr>
              <w:ind w:left="4"/>
              <w:rPr>
                <w:rFonts w:ascii="Titillium" w:hAnsi="Titillium"/>
                <w:sz w:val="16"/>
                <w:szCs w:val="16"/>
              </w:rPr>
            </w:pPr>
            <w:r w:rsidRPr="00D63FC3">
              <w:rPr>
                <w:rFonts w:ascii="Titillium" w:eastAsia="Times New Roman" w:hAnsi="Titillium" w:cs="Times New Roman"/>
                <w:sz w:val="16"/>
                <w:szCs w:val="16"/>
              </w:rPr>
              <w:t xml:space="preserve"> nie dotyczy</w:t>
            </w:r>
          </w:p>
        </w:tc>
      </w:tr>
      <w:tr w:rsidR="00794ED2" w:rsidRPr="00580FE5" w14:paraId="433C7F9B" w14:textId="77777777" w:rsidTr="00794ED2">
        <w:trPr>
          <w:gridAfter w:val="1"/>
          <w:wAfter w:w="5650" w:type="dxa"/>
          <w:trHeight w:val="528"/>
        </w:trPr>
        <w:tc>
          <w:tcPr>
            <w:tcW w:w="2830" w:type="dxa"/>
            <w:vMerge/>
            <w:tcBorders>
              <w:top w:val="nil"/>
              <w:left w:val="single" w:sz="4" w:space="0" w:color="000000"/>
              <w:bottom w:val="nil"/>
              <w:right w:val="single" w:sz="4" w:space="0" w:color="000000"/>
            </w:tcBorders>
          </w:tcPr>
          <w:p w14:paraId="67C71C7F" w14:textId="77777777" w:rsidR="000617DA" w:rsidRPr="00580FE5" w:rsidRDefault="000617DA" w:rsidP="00794ED2">
            <w:pPr>
              <w:rPr>
                <w:rFonts w:ascii="Titillium" w:hAnsi="Titillium"/>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C9D335D" w14:textId="77777777" w:rsidR="000617DA" w:rsidRPr="00B242B5" w:rsidRDefault="000617DA" w:rsidP="00794ED2">
            <w:pPr>
              <w:ind w:left="2"/>
              <w:rPr>
                <w:rFonts w:ascii="Titillium" w:hAnsi="Titillium"/>
                <w:sz w:val="16"/>
                <w:szCs w:val="16"/>
              </w:rPr>
            </w:pPr>
            <w:r w:rsidRPr="00B242B5">
              <w:rPr>
                <w:rFonts w:ascii="Titillium" w:eastAsia="Times New Roman" w:hAnsi="Titillium" w:cs="Times New Roman"/>
                <w:sz w:val="16"/>
                <w:szCs w:val="16"/>
              </w:rPr>
              <w:t xml:space="preserve">usytuowanie linii zabudowy </w:t>
            </w:r>
          </w:p>
        </w:tc>
        <w:tc>
          <w:tcPr>
            <w:tcW w:w="4819" w:type="dxa"/>
            <w:tcBorders>
              <w:top w:val="single" w:sz="4" w:space="0" w:color="000000"/>
              <w:left w:val="single" w:sz="4" w:space="0" w:color="000000"/>
              <w:bottom w:val="single" w:sz="4" w:space="0" w:color="000000"/>
              <w:right w:val="single" w:sz="4" w:space="0" w:color="000000"/>
            </w:tcBorders>
            <w:vAlign w:val="center"/>
          </w:tcPr>
          <w:p w14:paraId="15C860F6" w14:textId="77777777" w:rsidR="000617DA" w:rsidRPr="00D63FC3" w:rsidRDefault="000617DA" w:rsidP="00794ED2">
            <w:pPr>
              <w:ind w:left="4"/>
              <w:rPr>
                <w:rFonts w:ascii="Titillium" w:hAnsi="Titillium"/>
                <w:sz w:val="16"/>
                <w:szCs w:val="16"/>
              </w:rPr>
            </w:pPr>
            <w:r w:rsidRPr="00D63FC3">
              <w:rPr>
                <w:rFonts w:ascii="Titillium" w:eastAsia="Times New Roman" w:hAnsi="Titillium" w:cs="Times New Roman"/>
                <w:sz w:val="20"/>
              </w:rPr>
              <w:t xml:space="preserve"> </w:t>
            </w:r>
            <w:r w:rsidRPr="00D63FC3">
              <w:rPr>
                <w:rFonts w:ascii="Titillium" w:eastAsia="Times New Roman" w:hAnsi="Titillium" w:cs="Times New Roman"/>
                <w:sz w:val="16"/>
                <w:szCs w:val="16"/>
              </w:rPr>
              <w:t>nie dotyczy</w:t>
            </w:r>
          </w:p>
        </w:tc>
      </w:tr>
      <w:tr w:rsidR="00794ED2" w:rsidRPr="00580FE5" w14:paraId="36D929BA" w14:textId="77777777" w:rsidTr="00794ED2">
        <w:trPr>
          <w:gridAfter w:val="1"/>
          <w:wAfter w:w="5650" w:type="dxa"/>
          <w:trHeight w:val="529"/>
        </w:trPr>
        <w:tc>
          <w:tcPr>
            <w:tcW w:w="2830" w:type="dxa"/>
            <w:vMerge/>
            <w:tcBorders>
              <w:top w:val="nil"/>
              <w:left w:val="single" w:sz="4" w:space="0" w:color="000000"/>
              <w:bottom w:val="nil"/>
              <w:right w:val="single" w:sz="4" w:space="0" w:color="000000"/>
            </w:tcBorders>
          </w:tcPr>
          <w:p w14:paraId="02F826AB" w14:textId="77777777" w:rsidR="000617DA" w:rsidRPr="00580FE5" w:rsidRDefault="000617DA" w:rsidP="00794ED2">
            <w:pPr>
              <w:rPr>
                <w:rFonts w:ascii="Titillium" w:hAnsi="Titillium"/>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4F01AEF" w14:textId="77777777" w:rsidR="000617DA" w:rsidRPr="00B242B5" w:rsidRDefault="000617DA" w:rsidP="00794ED2">
            <w:pPr>
              <w:ind w:left="2"/>
              <w:rPr>
                <w:rFonts w:ascii="Titillium" w:hAnsi="Titillium"/>
                <w:sz w:val="16"/>
                <w:szCs w:val="16"/>
              </w:rPr>
            </w:pPr>
            <w:r w:rsidRPr="00B242B5">
              <w:rPr>
                <w:rFonts w:ascii="Titillium" w:eastAsia="Times New Roman" w:hAnsi="Titillium" w:cs="Times New Roman"/>
                <w:sz w:val="16"/>
                <w:szCs w:val="16"/>
              </w:rPr>
              <w:t xml:space="preserve">intensywność wykorzystania terenu </w:t>
            </w:r>
          </w:p>
        </w:tc>
        <w:tc>
          <w:tcPr>
            <w:tcW w:w="4819" w:type="dxa"/>
            <w:tcBorders>
              <w:top w:val="single" w:sz="4" w:space="0" w:color="000000"/>
              <w:left w:val="single" w:sz="4" w:space="0" w:color="000000"/>
              <w:bottom w:val="single" w:sz="4" w:space="0" w:color="000000"/>
              <w:right w:val="single" w:sz="4" w:space="0" w:color="000000"/>
            </w:tcBorders>
            <w:vAlign w:val="center"/>
          </w:tcPr>
          <w:p w14:paraId="0A45E7C5" w14:textId="77777777" w:rsidR="000617DA" w:rsidRPr="00D63FC3" w:rsidRDefault="000617DA" w:rsidP="00794ED2">
            <w:pPr>
              <w:ind w:left="4"/>
              <w:rPr>
                <w:rFonts w:ascii="Titillium" w:hAnsi="Titillium"/>
                <w:sz w:val="16"/>
                <w:szCs w:val="16"/>
              </w:rPr>
            </w:pPr>
            <w:r w:rsidRPr="00D63FC3">
              <w:rPr>
                <w:rFonts w:ascii="Titillium" w:eastAsia="Times New Roman" w:hAnsi="Titillium" w:cs="Times New Roman"/>
                <w:sz w:val="20"/>
              </w:rPr>
              <w:t xml:space="preserve"> </w:t>
            </w:r>
            <w:r w:rsidRPr="00D63FC3">
              <w:rPr>
                <w:rFonts w:ascii="Titillium" w:eastAsia="Times New Roman" w:hAnsi="Titillium" w:cs="Times New Roman"/>
                <w:sz w:val="16"/>
                <w:szCs w:val="16"/>
              </w:rPr>
              <w:t>nie dotyczy</w:t>
            </w:r>
          </w:p>
        </w:tc>
      </w:tr>
      <w:tr w:rsidR="00794ED2" w:rsidRPr="00580FE5" w14:paraId="0B0D1421" w14:textId="77777777" w:rsidTr="00794ED2">
        <w:trPr>
          <w:gridAfter w:val="1"/>
          <w:wAfter w:w="5650" w:type="dxa"/>
          <w:trHeight w:val="758"/>
        </w:trPr>
        <w:tc>
          <w:tcPr>
            <w:tcW w:w="2830" w:type="dxa"/>
            <w:vMerge/>
            <w:tcBorders>
              <w:top w:val="nil"/>
              <w:left w:val="single" w:sz="4" w:space="0" w:color="000000"/>
              <w:bottom w:val="nil"/>
              <w:right w:val="single" w:sz="4" w:space="0" w:color="000000"/>
            </w:tcBorders>
          </w:tcPr>
          <w:p w14:paraId="4422A5DB" w14:textId="77777777" w:rsidR="000617DA" w:rsidRPr="00580FE5" w:rsidRDefault="000617DA" w:rsidP="00794ED2">
            <w:pPr>
              <w:rPr>
                <w:rFonts w:ascii="Titillium" w:hAnsi="Titillium"/>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0419AFA" w14:textId="77777777" w:rsidR="000617DA" w:rsidRPr="00C31712" w:rsidRDefault="000617DA" w:rsidP="00794ED2">
            <w:pPr>
              <w:ind w:left="2"/>
              <w:jc w:val="both"/>
              <w:rPr>
                <w:rFonts w:ascii="Titillium" w:hAnsi="Titillium"/>
                <w:sz w:val="16"/>
                <w:szCs w:val="16"/>
              </w:rPr>
            </w:pPr>
            <w:r w:rsidRPr="00C31712">
              <w:rPr>
                <w:rFonts w:ascii="Titillium" w:eastAsia="Times New Roman" w:hAnsi="Titillium" w:cs="Times New Roman"/>
                <w:sz w:val="16"/>
                <w:szCs w:val="16"/>
              </w:rPr>
              <w:t xml:space="preserve">warunki ochrony środowiska i zdrowia ludzi, przyrody i krajobrazu </w:t>
            </w:r>
          </w:p>
        </w:tc>
        <w:tc>
          <w:tcPr>
            <w:tcW w:w="4819" w:type="dxa"/>
            <w:tcBorders>
              <w:top w:val="single" w:sz="4" w:space="0" w:color="000000"/>
              <w:left w:val="single" w:sz="4" w:space="0" w:color="000000"/>
              <w:bottom w:val="single" w:sz="4" w:space="0" w:color="000000"/>
              <w:right w:val="single" w:sz="4" w:space="0" w:color="000000"/>
            </w:tcBorders>
          </w:tcPr>
          <w:p w14:paraId="6FE3292E" w14:textId="77777777" w:rsidR="000617DA" w:rsidRPr="00D63FC3" w:rsidRDefault="000617DA" w:rsidP="00794ED2">
            <w:pPr>
              <w:ind w:left="4"/>
              <w:rPr>
                <w:rFonts w:ascii="Titillium" w:eastAsia="Times New Roman" w:hAnsi="Titillium" w:cs="Times New Roman"/>
                <w:sz w:val="16"/>
                <w:szCs w:val="16"/>
              </w:rPr>
            </w:pPr>
            <w:r w:rsidRPr="00D63FC3">
              <w:rPr>
                <w:rFonts w:ascii="Titillium" w:eastAsia="Times New Roman" w:hAnsi="Titillium" w:cs="Times New Roman"/>
                <w:sz w:val="16"/>
                <w:szCs w:val="16"/>
              </w:rPr>
              <w:t xml:space="preserve"> </w:t>
            </w:r>
          </w:p>
          <w:p w14:paraId="78AFCB09" w14:textId="77777777" w:rsidR="000617DA" w:rsidRPr="00D63FC3" w:rsidRDefault="000617DA" w:rsidP="00794ED2">
            <w:pPr>
              <w:rPr>
                <w:rFonts w:ascii="Titillium" w:hAnsi="Titillium"/>
                <w:sz w:val="16"/>
                <w:szCs w:val="16"/>
              </w:rPr>
            </w:pPr>
            <w:r w:rsidRPr="00D63FC3">
              <w:rPr>
                <w:rFonts w:ascii="Titillium" w:eastAsia="Times New Roman" w:hAnsi="Titillium" w:cs="Times New Roman"/>
                <w:sz w:val="16"/>
                <w:szCs w:val="16"/>
              </w:rPr>
              <w:t>nie dotyczy</w:t>
            </w:r>
          </w:p>
        </w:tc>
      </w:tr>
      <w:tr w:rsidR="00794ED2" w:rsidRPr="00580FE5" w14:paraId="312827D2" w14:textId="77777777" w:rsidTr="00794ED2">
        <w:trPr>
          <w:gridAfter w:val="1"/>
          <w:wAfter w:w="5650" w:type="dxa"/>
          <w:trHeight w:val="910"/>
        </w:trPr>
        <w:tc>
          <w:tcPr>
            <w:tcW w:w="2830" w:type="dxa"/>
            <w:vMerge/>
            <w:tcBorders>
              <w:top w:val="nil"/>
              <w:left w:val="single" w:sz="4" w:space="0" w:color="000000"/>
              <w:bottom w:val="single" w:sz="4" w:space="0" w:color="000000"/>
              <w:right w:val="single" w:sz="4" w:space="0" w:color="000000"/>
            </w:tcBorders>
          </w:tcPr>
          <w:p w14:paraId="0FC9F335" w14:textId="77777777" w:rsidR="000617DA" w:rsidRPr="00580FE5" w:rsidRDefault="000617DA" w:rsidP="00794ED2">
            <w:pPr>
              <w:rPr>
                <w:rFonts w:ascii="Titillium" w:hAnsi="Titillium"/>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183FB17" w14:textId="5D742550" w:rsidR="000617DA" w:rsidRPr="00B242B5" w:rsidRDefault="000617DA" w:rsidP="00794ED2">
            <w:pPr>
              <w:ind w:left="2" w:right="46"/>
              <w:jc w:val="both"/>
              <w:rPr>
                <w:rFonts w:ascii="Titillium" w:hAnsi="Titillium"/>
                <w:sz w:val="16"/>
                <w:szCs w:val="16"/>
              </w:rPr>
            </w:pPr>
            <w:r w:rsidRPr="00B242B5">
              <w:rPr>
                <w:rFonts w:ascii="Titillium" w:eastAsia="Times New Roman" w:hAnsi="Titillium" w:cs="Times New Roman"/>
                <w:sz w:val="16"/>
                <w:szCs w:val="16"/>
              </w:rPr>
              <w:t xml:space="preserve">wymagania dotyczące zabudowy i zagospodarowania terenu położonego na obszarach szczególnego zagrożenia powodzią </w:t>
            </w:r>
          </w:p>
        </w:tc>
        <w:tc>
          <w:tcPr>
            <w:tcW w:w="4819" w:type="dxa"/>
            <w:tcBorders>
              <w:top w:val="single" w:sz="4" w:space="0" w:color="000000"/>
              <w:left w:val="single" w:sz="4" w:space="0" w:color="000000"/>
              <w:bottom w:val="single" w:sz="4" w:space="0" w:color="000000"/>
              <w:right w:val="single" w:sz="4" w:space="0" w:color="000000"/>
            </w:tcBorders>
          </w:tcPr>
          <w:p w14:paraId="4F447C18" w14:textId="77777777" w:rsidR="000617DA" w:rsidRPr="00D63FC3" w:rsidRDefault="000617DA" w:rsidP="00794ED2">
            <w:pPr>
              <w:ind w:left="4"/>
              <w:rPr>
                <w:rFonts w:ascii="Titillium" w:eastAsia="Times New Roman" w:hAnsi="Titillium" w:cs="Times New Roman"/>
                <w:sz w:val="20"/>
              </w:rPr>
            </w:pPr>
            <w:r w:rsidRPr="00D63FC3">
              <w:rPr>
                <w:rFonts w:ascii="Titillium" w:eastAsia="Times New Roman" w:hAnsi="Titillium" w:cs="Times New Roman"/>
                <w:sz w:val="20"/>
              </w:rPr>
              <w:t xml:space="preserve"> </w:t>
            </w:r>
          </w:p>
          <w:p w14:paraId="11597D4A" w14:textId="77777777" w:rsidR="000617DA" w:rsidRPr="00D63FC3" w:rsidRDefault="000617DA" w:rsidP="00794ED2">
            <w:pPr>
              <w:ind w:left="4"/>
              <w:rPr>
                <w:rFonts w:ascii="Titillium" w:hAnsi="Titillium"/>
                <w:sz w:val="16"/>
                <w:szCs w:val="16"/>
              </w:rPr>
            </w:pPr>
            <w:r w:rsidRPr="00D63FC3">
              <w:rPr>
                <w:rFonts w:ascii="Titillium" w:hAnsi="Titillium"/>
                <w:sz w:val="16"/>
                <w:szCs w:val="16"/>
              </w:rPr>
              <w:t>nie dotyczy</w:t>
            </w:r>
          </w:p>
        </w:tc>
      </w:tr>
      <w:tr w:rsidR="00794ED2" w:rsidRPr="003357EB" w14:paraId="1AC7E945" w14:textId="77777777" w:rsidTr="00794ED2">
        <w:tblPrEx>
          <w:tblCellMar>
            <w:top w:w="59" w:type="dxa"/>
          </w:tblCellMar>
        </w:tblPrEx>
        <w:trPr>
          <w:gridAfter w:val="1"/>
          <w:wAfter w:w="5650" w:type="dxa"/>
          <w:trHeight w:val="988"/>
        </w:trPr>
        <w:tc>
          <w:tcPr>
            <w:tcW w:w="2830" w:type="dxa"/>
            <w:vMerge w:val="restart"/>
            <w:tcBorders>
              <w:top w:val="single" w:sz="4" w:space="0" w:color="000000"/>
              <w:left w:val="single" w:sz="4" w:space="0" w:color="000000"/>
              <w:right w:val="single" w:sz="4" w:space="0" w:color="000000"/>
            </w:tcBorders>
            <w:shd w:val="clear" w:color="auto" w:fill="F3F3F3"/>
          </w:tcPr>
          <w:p w14:paraId="6F267224" w14:textId="66230A49" w:rsidR="003D4442" w:rsidRPr="003357EB" w:rsidRDefault="003D4442" w:rsidP="00794ED2">
            <w:pPr>
              <w:rPr>
                <w:rFonts w:ascii="Titillium" w:hAnsi="Titillium"/>
                <w:sz w:val="16"/>
                <w:szCs w:val="16"/>
              </w:rPr>
            </w:pPr>
            <w:r>
              <w:rPr>
                <w:rFonts w:ascii="Titillium" w:hAnsi="Titillium"/>
                <w:sz w:val="16"/>
                <w:szCs w:val="16"/>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0F5C0E5" w14:textId="77777777" w:rsidR="003D4442" w:rsidRPr="003357EB" w:rsidRDefault="003D4442" w:rsidP="00794ED2">
            <w:pPr>
              <w:ind w:left="2" w:right="51"/>
              <w:jc w:val="both"/>
              <w:rPr>
                <w:rFonts w:ascii="Titillium" w:hAnsi="Titillium"/>
                <w:sz w:val="16"/>
                <w:szCs w:val="16"/>
              </w:rPr>
            </w:pPr>
            <w:r w:rsidRPr="003357EB">
              <w:rPr>
                <w:rFonts w:ascii="Titillium" w:eastAsia="Times New Roman" w:hAnsi="Titillium" w:cs="Times New Roman"/>
                <w:sz w:val="16"/>
                <w:szCs w:val="16"/>
              </w:rPr>
              <w:t xml:space="preserve">warunki ochrony dziedzictwa kulturowego i zabytków oraz dóbr kultury współczesnej </w:t>
            </w:r>
          </w:p>
        </w:tc>
        <w:tc>
          <w:tcPr>
            <w:tcW w:w="4819" w:type="dxa"/>
            <w:tcBorders>
              <w:top w:val="single" w:sz="4" w:space="0" w:color="000000"/>
              <w:left w:val="single" w:sz="4" w:space="0" w:color="000000"/>
              <w:bottom w:val="single" w:sz="4" w:space="0" w:color="000000"/>
              <w:right w:val="single" w:sz="4" w:space="0" w:color="000000"/>
            </w:tcBorders>
          </w:tcPr>
          <w:p w14:paraId="729F7028" w14:textId="77777777" w:rsidR="003D4442" w:rsidRPr="00D63FC3" w:rsidRDefault="003D4442" w:rsidP="00794ED2">
            <w:pPr>
              <w:ind w:left="4"/>
              <w:rPr>
                <w:rFonts w:ascii="Titillium" w:eastAsia="Times New Roman" w:hAnsi="Titillium" w:cs="Times New Roman"/>
                <w:sz w:val="16"/>
                <w:szCs w:val="16"/>
              </w:rPr>
            </w:pPr>
            <w:r w:rsidRPr="00D63FC3">
              <w:rPr>
                <w:rFonts w:ascii="Titillium" w:eastAsia="Times New Roman" w:hAnsi="Titillium" w:cs="Times New Roman"/>
                <w:sz w:val="16"/>
                <w:szCs w:val="16"/>
              </w:rPr>
              <w:t xml:space="preserve"> </w:t>
            </w:r>
          </w:p>
          <w:p w14:paraId="5EF5E7BB" w14:textId="75FFD51B" w:rsidR="003D4442" w:rsidRPr="00D63FC3" w:rsidRDefault="003D4442" w:rsidP="00794ED2">
            <w:pPr>
              <w:ind w:left="4"/>
              <w:rPr>
                <w:rFonts w:ascii="Titillium" w:hAnsi="Titillium"/>
                <w:sz w:val="16"/>
                <w:szCs w:val="16"/>
              </w:rPr>
            </w:pPr>
            <w:r w:rsidRPr="00D63FC3">
              <w:rPr>
                <w:rFonts w:ascii="Titillium" w:eastAsia="Times New Roman" w:hAnsi="Titillium" w:cs="Times New Roman"/>
                <w:sz w:val="16"/>
                <w:szCs w:val="16"/>
              </w:rPr>
              <w:t>nie dotyczy</w:t>
            </w:r>
          </w:p>
        </w:tc>
      </w:tr>
      <w:tr w:rsidR="00794ED2" w:rsidRPr="003357EB" w14:paraId="357D0288" w14:textId="77777777" w:rsidTr="00794ED2">
        <w:tblPrEx>
          <w:tblCellMar>
            <w:top w:w="59" w:type="dxa"/>
          </w:tblCellMar>
        </w:tblPrEx>
        <w:trPr>
          <w:gridAfter w:val="1"/>
          <w:wAfter w:w="5650" w:type="dxa"/>
          <w:trHeight w:val="870"/>
        </w:trPr>
        <w:tc>
          <w:tcPr>
            <w:tcW w:w="2830" w:type="dxa"/>
            <w:vMerge/>
            <w:tcBorders>
              <w:left w:val="single" w:sz="4" w:space="0" w:color="000000"/>
              <w:right w:val="single" w:sz="4" w:space="0" w:color="000000"/>
            </w:tcBorders>
          </w:tcPr>
          <w:p w14:paraId="024CCAF8" w14:textId="77777777" w:rsidR="003D4442" w:rsidRPr="003357EB" w:rsidRDefault="003D4442"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71349D5" w14:textId="77777777" w:rsidR="003D4442" w:rsidRPr="003357EB" w:rsidRDefault="003D4442" w:rsidP="00794ED2">
            <w:pPr>
              <w:ind w:left="2" w:right="51"/>
              <w:jc w:val="both"/>
              <w:rPr>
                <w:rFonts w:ascii="Titillium" w:hAnsi="Titillium"/>
                <w:sz w:val="16"/>
                <w:szCs w:val="16"/>
              </w:rPr>
            </w:pPr>
            <w:r w:rsidRPr="003357EB">
              <w:rPr>
                <w:rFonts w:ascii="Titillium" w:eastAsia="Times New Roman" w:hAnsi="Titillium" w:cs="Times New Roman"/>
                <w:sz w:val="16"/>
                <w:szCs w:val="16"/>
              </w:rPr>
              <w:t xml:space="preserve">wymagania dotyczące ochrony innych terenów lub obiektów podlegających ochronie na podstawie przepisów odrębnych </w:t>
            </w:r>
          </w:p>
        </w:tc>
        <w:tc>
          <w:tcPr>
            <w:tcW w:w="4819" w:type="dxa"/>
            <w:tcBorders>
              <w:top w:val="single" w:sz="4" w:space="0" w:color="000000"/>
              <w:left w:val="single" w:sz="4" w:space="0" w:color="000000"/>
              <w:bottom w:val="single" w:sz="4" w:space="0" w:color="000000"/>
              <w:right w:val="single" w:sz="4" w:space="0" w:color="000000"/>
            </w:tcBorders>
          </w:tcPr>
          <w:p w14:paraId="0465AD58" w14:textId="642F62CA" w:rsidR="003D4442" w:rsidRPr="00D63FC3" w:rsidRDefault="003D4442" w:rsidP="00794ED2">
            <w:pPr>
              <w:ind w:left="4"/>
              <w:rPr>
                <w:rFonts w:ascii="Titillium" w:eastAsia="Times New Roman" w:hAnsi="Titillium" w:cs="Times New Roman"/>
                <w:sz w:val="16"/>
                <w:szCs w:val="16"/>
              </w:rPr>
            </w:pPr>
            <w:r w:rsidRPr="00D63FC3">
              <w:rPr>
                <w:rFonts w:ascii="Titillium" w:eastAsia="Times New Roman" w:hAnsi="Titillium" w:cs="Times New Roman"/>
                <w:sz w:val="16"/>
                <w:szCs w:val="16"/>
              </w:rPr>
              <w:t xml:space="preserve"> </w:t>
            </w:r>
          </w:p>
          <w:p w14:paraId="1A046400" w14:textId="08EDCA9C" w:rsidR="003D4442" w:rsidRPr="00D63FC3" w:rsidRDefault="003D4442" w:rsidP="00794ED2">
            <w:pPr>
              <w:ind w:left="4"/>
              <w:rPr>
                <w:rFonts w:ascii="Titillium" w:hAnsi="Titillium"/>
                <w:sz w:val="16"/>
                <w:szCs w:val="16"/>
              </w:rPr>
            </w:pPr>
            <w:r w:rsidRPr="00D63FC3">
              <w:rPr>
                <w:rFonts w:ascii="Titillium" w:eastAsia="Times New Roman" w:hAnsi="Titillium" w:cs="Times New Roman"/>
                <w:sz w:val="16"/>
                <w:szCs w:val="16"/>
              </w:rPr>
              <w:t>nie dotyczy</w:t>
            </w:r>
          </w:p>
        </w:tc>
      </w:tr>
      <w:tr w:rsidR="00794ED2" w:rsidRPr="003357EB" w14:paraId="0031F8F3" w14:textId="77777777" w:rsidTr="00794ED2">
        <w:tblPrEx>
          <w:tblCellMar>
            <w:top w:w="59" w:type="dxa"/>
          </w:tblCellMar>
        </w:tblPrEx>
        <w:trPr>
          <w:gridAfter w:val="1"/>
          <w:wAfter w:w="5650" w:type="dxa"/>
          <w:trHeight w:val="760"/>
        </w:trPr>
        <w:tc>
          <w:tcPr>
            <w:tcW w:w="2830" w:type="dxa"/>
            <w:vMerge/>
            <w:tcBorders>
              <w:left w:val="single" w:sz="4" w:space="0" w:color="000000"/>
              <w:right w:val="single" w:sz="4" w:space="0" w:color="000000"/>
            </w:tcBorders>
            <w:shd w:val="clear" w:color="auto" w:fill="F3F3F3"/>
          </w:tcPr>
          <w:p w14:paraId="17D6ED88" w14:textId="77777777" w:rsidR="003D4442" w:rsidRPr="003357EB" w:rsidRDefault="003D4442"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B6330E1" w14:textId="77777777" w:rsidR="003D4442" w:rsidRPr="003357EB" w:rsidRDefault="003D4442" w:rsidP="00794ED2">
            <w:pPr>
              <w:ind w:left="2"/>
              <w:jc w:val="both"/>
              <w:rPr>
                <w:rFonts w:ascii="Titillium" w:hAnsi="Titillium"/>
                <w:sz w:val="16"/>
                <w:szCs w:val="16"/>
              </w:rPr>
            </w:pPr>
            <w:r w:rsidRPr="003357EB">
              <w:rPr>
                <w:rFonts w:ascii="Titillium" w:eastAsia="Times New Roman" w:hAnsi="Titillium" w:cs="Times New Roman"/>
                <w:sz w:val="16"/>
                <w:szCs w:val="16"/>
              </w:rPr>
              <w:t xml:space="preserve">warunki i szczegółowe zasady obsługi w zakresie komunikacji </w:t>
            </w:r>
          </w:p>
        </w:tc>
        <w:tc>
          <w:tcPr>
            <w:tcW w:w="4819" w:type="dxa"/>
            <w:tcBorders>
              <w:top w:val="single" w:sz="4" w:space="0" w:color="000000"/>
              <w:left w:val="single" w:sz="4" w:space="0" w:color="000000"/>
              <w:bottom w:val="single" w:sz="4" w:space="0" w:color="000000"/>
              <w:right w:val="single" w:sz="4" w:space="0" w:color="000000"/>
            </w:tcBorders>
          </w:tcPr>
          <w:p w14:paraId="04859D84" w14:textId="77777777" w:rsidR="003D4442" w:rsidRPr="00D63FC3" w:rsidRDefault="003D4442" w:rsidP="00794ED2">
            <w:pPr>
              <w:ind w:left="4"/>
              <w:rPr>
                <w:rFonts w:ascii="Titillium" w:eastAsia="Times New Roman" w:hAnsi="Titillium" w:cs="Times New Roman"/>
                <w:sz w:val="16"/>
                <w:szCs w:val="16"/>
              </w:rPr>
            </w:pPr>
            <w:r w:rsidRPr="00D63FC3">
              <w:rPr>
                <w:rFonts w:ascii="Titillium" w:eastAsia="Times New Roman" w:hAnsi="Titillium" w:cs="Times New Roman"/>
                <w:sz w:val="16"/>
                <w:szCs w:val="16"/>
              </w:rPr>
              <w:t xml:space="preserve"> </w:t>
            </w:r>
          </w:p>
          <w:p w14:paraId="7FD59A5D" w14:textId="768918B4" w:rsidR="003D4442" w:rsidRPr="00D63FC3" w:rsidRDefault="003D4442" w:rsidP="00794ED2">
            <w:pPr>
              <w:ind w:left="4"/>
              <w:rPr>
                <w:rFonts w:ascii="Titillium" w:eastAsia="Times New Roman" w:hAnsi="Titillium" w:cs="Times New Roman"/>
                <w:sz w:val="16"/>
                <w:szCs w:val="16"/>
              </w:rPr>
            </w:pPr>
            <w:r w:rsidRPr="00D63FC3">
              <w:rPr>
                <w:rFonts w:ascii="Titillium" w:eastAsia="Times New Roman" w:hAnsi="Titillium" w:cs="Times New Roman"/>
                <w:sz w:val="16"/>
                <w:szCs w:val="16"/>
              </w:rPr>
              <w:t>nie dotyczy</w:t>
            </w:r>
          </w:p>
          <w:p w14:paraId="1757039A" w14:textId="77777777" w:rsidR="003D4442" w:rsidRPr="00D63FC3" w:rsidRDefault="003D4442" w:rsidP="00794ED2">
            <w:pPr>
              <w:ind w:left="4"/>
              <w:rPr>
                <w:rFonts w:ascii="Titillium" w:hAnsi="Titillium"/>
                <w:sz w:val="16"/>
                <w:szCs w:val="16"/>
              </w:rPr>
            </w:pPr>
          </w:p>
        </w:tc>
      </w:tr>
      <w:tr w:rsidR="00794ED2" w:rsidRPr="003357EB" w14:paraId="299958B7" w14:textId="77777777" w:rsidTr="00794ED2">
        <w:tblPrEx>
          <w:tblCellMar>
            <w:top w:w="59" w:type="dxa"/>
          </w:tblCellMar>
        </w:tblPrEx>
        <w:trPr>
          <w:gridAfter w:val="1"/>
          <w:wAfter w:w="5650" w:type="dxa"/>
          <w:trHeight w:val="758"/>
        </w:trPr>
        <w:tc>
          <w:tcPr>
            <w:tcW w:w="2830" w:type="dxa"/>
            <w:vMerge/>
            <w:tcBorders>
              <w:left w:val="single" w:sz="4" w:space="0" w:color="000000"/>
              <w:right w:val="single" w:sz="4" w:space="0" w:color="000000"/>
            </w:tcBorders>
          </w:tcPr>
          <w:p w14:paraId="18283921" w14:textId="77777777" w:rsidR="003D4442" w:rsidRPr="003357EB" w:rsidRDefault="003D4442"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A2458F7" w14:textId="77777777" w:rsidR="003D4442" w:rsidRPr="003357EB" w:rsidRDefault="003D4442" w:rsidP="00794ED2">
            <w:pPr>
              <w:ind w:left="2"/>
              <w:jc w:val="both"/>
              <w:rPr>
                <w:rFonts w:ascii="Titillium" w:hAnsi="Titillium"/>
                <w:sz w:val="16"/>
                <w:szCs w:val="16"/>
              </w:rPr>
            </w:pPr>
            <w:r w:rsidRPr="003357EB">
              <w:rPr>
                <w:rFonts w:ascii="Titillium" w:eastAsia="Times New Roman" w:hAnsi="Titillium" w:cs="Times New Roman"/>
                <w:sz w:val="16"/>
                <w:szCs w:val="16"/>
              </w:rPr>
              <w:t xml:space="preserve">warunki i szczegółowe zasady obsługi w zakresie infrastruktury technicznej </w:t>
            </w:r>
          </w:p>
        </w:tc>
        <w:tc>
          <w:tcPr>
            <w:tcW w:w="4819" w:type="dxa"/>
            <w:tcBorders>
              <w:top w:val="single" w:sz="4" w:space="0" w:color="000000"/>
              <w:left w:val="single" w:sz="4" w:space="0" w:color="000000"/>
              <w:bottom w:val="single" w:sz="4" w:space="0" w:color="000000"/>
              <w:right w:val="single" w:sz="4" w:space="0" w:color="000000"/>
            </w:tcBorders>
          </w:tcPr>
          <w:p w14:paraId="1D9E3A65" w14:textId="7B37C134" w:rsidR="003D4442" w:rsidRPr="00D63FC3" w:rsidRDefault="003D4442" w:rsidP="00794ED2">
            <w:pPr>
              <w:ind w:left="4"/>
              <w:rPr>
                <w:rFonts w:ascii="Titillium" w:eastAsia="Times New Roman" w:hAnsi="Titillium" w:cs="Times New Roman"/>
                <w:sz w:val="16"/>
                <w:szCs w:val="16"/>
              </w:rPr>
            </w:pPr>
          </w:p>
          <w:p w14:paraId="3F75E9DB" w14:textId="05643F83" w:rsidR="003D4442" w:rsidRPr="00D63FC3" w:rsidRDefault="003D4442" w:rsidP="00794ED2">
            <w:pPr>
              <w:rPr>
                <w:rFonts w:ascii="Titillium" w:hAnsi="Titillium"/>
                <w:sz w:val="16"/>
                <w:szCs w:val="16"/>
              </w:rPr>
            </w:pPr>
            <w:r w:rsidRPr="00D63FC3">
              <w:rPr>
                <w:rFonts w:ascii="Titillium" w:eastAsia="Times New Roman" w:hAnsi="Titillium" w:cs="Times New Roman"/>
                <w:sz w:val="16"/>
                <w:szCs w:val="16"/>
              </w:rPr>
              <w:t>nie dotyczy</w:t>
            </w:r>
          </w:p>
        </w:tc>
      </w:tr>
      <w:tr w:rsidR="00794ED2" w:rsidRPr="003357EB" w14:paraId="2DCF9A75" w14:textId="77777777" w:rsidTr="00794ED2">
        <w:tblPrEx>
          <w:tblCellMar>
            <w:top w:w="59" w:type="dxa"/>
          </w:tblCellMar>
        </w:tblPrEx>
        <w:trPr>
          <w:gridAfter w:val="1"/>
          <w:wAfter w:w="5650" w:type="dxa"/>
          <w:trHeight w:val="758"/>
        </w:trPr>
        <w:tc>
          <w:tcPr>
            <w:tcW w:w="2830" w:type="dxa"/>
            <w:vMerge/>
            <w:tcBorders>
              <w:left w:val="single" w:sz="4" w:space="0" w:color="000000"/>
              <w:right w:val="single" w:sz="4" w:space="0" w:color="000000"/>
            </w:tcBorders>
          </w:tcPr>
          <w:p w14:paraId="42CE10A0" w14:textId="77777777" w:rsidR="003D4442" w:rsidRPr="003357EB" w:rsidRDefault="003D4442"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660968D" w14:textId="3841B491" w:rsidR="003D4442" w:rsidRPr="003357EB" w:rsidRDefault="003D4442" w:rsidP="00794ED2">
            <w:pPr>
              <w:ind w:left="2"/>
              <w:jc w:val="both"/>
              <w:rPr>
                <w:rFonts w:ascii="Titillium" w:eastAsia="Times New Roman" w:hAnsi="Titillium" w:cs="Times New Roman"/>
                <w:sz w:val="16"/>
                <w:szCs w:val="16"/>
              </w:rPr>
            </w:pPr>
            <w:r>
              <w:rPr>
                <w:rFonts w:ascii="Titillium" w:eastAsia="Times New Roman" w:hAnsi="Titillium" w:cs="Times New Roman"/>
                <w:sz w:val="16"/>
                <w:szCs w:val="16"/>
              </w:rPr>
              <w:t>minimalny udział procentowy powierzchni biologicznie czynne</w:t>
            </w:r>
            <w:r w:rsidR="00A73634">
              <w:rPr>
                <w:rFonts w:ascii="Titillium" w:eastAsia="Times New Roman" w:hAnsi="Titillium" w:cs="Times New Roman"/>
                <w:sz w:val="16"/>
                <w:szCs w:val="16"/>
              </w:rPr>
              <w:t>j</w:t>
            </w:r>
          </w:p>
        </w:tc>
        <w:tc>
          <w:tcPr>
            <w:tcW w:w="4819" w:type="dxa"/>
            <w:tcBorders>
              <w:top w:val="single" w:sz="4" w:space="0" w:color="000000"/>
              <w:left w:val="single" w:sz="4" w:space="0" w:color="000000"/>
              <w:bottom w:val="single" w:sz="4" w:space="0" w:color="000000"/>
              <w:right w:val="single" w:sz="4" w:space="0" w:color="000000"/>
            </w:tcBorders>
          </w:tcPr>
          <w:p w14:paraId="534191FC" w14:textId="77777777" w:rsidR="003D4442" w:rsidRPr="00D63FC3" w:rsidRDefault="003D4442" w:rsidP="00794ED2">
            <w:pPr>
              <w:ind w:left="4"/>
              <w:rPr>
                <w:rFonts w:ascii="Titillium" w:eastAsia="Times New Roman" w:hAnsi="Titillium" w:cs="Times New Roman"/>
                <w:sz w:val="16"/>
                <w:szCs w:val="16"/>
              </w:rPr>
            </w:pPr>
          </w:p>
          <w:p w14:paraId="727C838D" w14:textId="0E28EE10" w:rsidR="003D4442" w:rsidRPr="00D63FC3" w:rsidRDefault="003D4442" w:rsidP="00794ED2">
            <w:pPr>
              <w:ind w:left="4"/>
              <w:rPr>
                <w:rFonts w:ascii="Titillium" w:eastAsia="Times New Roman" w:hAnsi="Titillium" w:cs="Times New Roman"/>
                <w:sz w:val="16"/>
                <w:szCs w:val="16"/>
              </w:rPr>
            </w:pPr>
            <w:r w:rsidRPr="00D63FC3">
              <w:rPr>
                <w:rFonts w:ascii="Titillium" w:eastAsia="Times New Roman" w:hAnsi="Titillium" w:cs="Times New Roman"/>
                <w:sz w:val="16"/>
                <w:szCs w:val="16"/>
              </w:rPr>
              <w:t>nie dotyczy</w:t>
            </w:r>
          </w:p>
        </w:tc>
      </w:tr>
      <w:tr w:rsidR="00794ED2" w:rsidRPr="003357EB" w14:paraId="13FA8043" w14:textId="77777777" w:rsidTr="00794ED2">
        <w:tblPrEx>
          <w:tblCellMar>
            <w:top w:w="59" w:type="dxa"/>
          </w:tblCellMar>
        </w:tblPrEx>
        <w:trPr>
          <w:gridAfter w:val="1"/>
          <w:wAfter w:w="5650" w:type="dxa"/>
          <w:trHeight w:val="758"/>
        </w:trPr>
        <w:tc>
          <w:tcPr>
            <w:tcW w:w="2830" w:type="dxa"/>
            <w:vMerge/>
            <w:tcBorders>
              <w:left w:val="single" w:sz="4" w:space="0" w:color="000000"/>
              <w:right w:val="single" w:sz="4" w:space="0" w:color="000000"/>
            </w:tcBorders>
          </w:tcPr>
          <w:p w14:paraId="3E39874B" w14:textId="77777777" w:rsidR="003D4442" w:rsidRPr="003357EB" w:rsidRDefault="003D4442"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0080AB5" w14:textId="22CFBA15" w:rsidR="003D4442" w:rsidRPr="003357EB" w:rsidRDefault="003D4442" w:rsidP="00794ED2">
            <w:pPr>
              <w:ind w:left="2"/>
              <w:jc w:val="both"/>
              <w:rPr>
                <w:rFonts w:ascii="Titillium" w:eastAsia="Times New Roman" w:hAnsi="Titillium" w:cs="Times New Roman"/>
                <w:sz w:val="16"/>
                <w:szCs w:val="16"/>
              </w:rPr>
            </w:pPr>
            <w:r>
              <w:rPr>
                <w:rFonts w:ascii="Titillium" w:eastAsia="Times New Roman" w:hAnsi="Titillium" w:cs="Times New Roman"/>
                <w:sz w:val="16"/>
                <w:szCs w:val="16"/>
              </w:rPr>
              <w:t>nadziemna intensywność zabudowy</w:t>
            </w:r>
          </w:p>
        </w:tc>
        <w:tc>
          <w:tcPr>
            <w:tcW w:w="4819" w:type="dxa"/>
            <w:tcBorders>
              <w:top w:val="single" w:sz="4" w:space="0" w:color="000000"/>
              <w:left w:val="single" w:sz="4" w:space="0" w:color="000000"/>
              <w:bottom w:val="single" w:sz="4" w:space="0" w:color="000000"/>
              <w:right w:val="single" w:sz="4" w:space="0" w:color="000000"/>
            </w:tcBorders>
          </w:tcPr>
          <w:p w14:paraId="77349409" w14:textId="77777777" w:rsidR="003D4442" w:rsidRPr="00D63FC3" w:rsidRDefault="003D4442" w:rsidP="00794ED2">
            <w:pPr>
              <w:ind w:left="4"/>
              <w:rPr>
                <w:rFonts w:ascii="Titillium" w:eastAsia="Times New Roman" w:hAnsi="Titillium" w:cs="Times New Roman"/>
                <w:sz w:val="16"/>
                <w:szCs w:val="16"/>
              </w:rPr>
            </w:pPr>
          </w:p>
          <w:p w14:paraId="0F8FA004" w14:textId="158A56E7" w:rsidR="003D4442" w:rsidRPr="00D63FC3" w:rsidRDefault="003D4442" w:rsidP="00794ED2">
            <w:pPr>
              <w:ind w:left="4"/>
              <w:rPr>
                <w:rFonts w:ascii="Titillium" w:eastAsia="Times New Roman" w:hAnsi="Titillium" w:cs="Times New Roman"/>
                <w:sz w:val="16"/>
                <w:szCs w:val="16"/>
              </w:rPr>
            </w:pPr>
            <w:r w:rsidRPr="00D63FC3">
              <w:rPr>
                <w:rFonts w:ascii="Titillium" w:eastAsia="Times New Roman" w:hAnsi="Titillium" w:cs="Times New Roman"/>
                <w:sz w:val="16"/>
                <w:szCs w:val="16"/>
              </w:rPr>
              <w:t>nie dotyczy</w:t>
            </w:r>
          </w:p>
        </w:tc>
      </w:tr>
      <w:tr w:rsidR="00794ED2" w:rsidRPr="003357EB" w14:paraId="067D7580" w14:textId="77777777" w:rsidTr="00794ED2">
        <w:tblPrEx>
          <w:tblCellMar>
            <w:top w:w="59" w:type="dxa"/>
          </w:tblCellMar>
        </w:tblPrEx>
        <w:trPr>
          <w:gridAfter w:val="1"/>
          <w:wAfter w:w="5650" w:type="dxa"/>
          <w:trHeight w:val="758"/>
        </w:trPr>
        <w:tc>
          <w:tcPr>
            <w:tcW w:w="2830" w:type="dxa"/>
            <w:vMerge/>
            <w:tcBorders>
              <w:left w:val="single" w:sz="4" w:space="0" w:color="000000"/>
              <w:bottom w:val="single" w:sz="4" w:space="0" w:color="000000"/>
              <w:right w:val="single" w:sz="4" w:space="0" w:color="000000"/>
            </w:tcBorders>
          </w:tcPr>
          <w:p w14:paraId="44740C5A" w14:textId="77777777" w:rsidR="003D4442" w:rsidRPr="003357EB" w:rsidRDefault="003D4442"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30AC2F2" w14:textId="1DC8D33A" w:rsidR="003D4442" w:rsidRPr="003357EB" w:rsidRDefault="003D4442" w:rsidP="00794ED2">
            <w:pPr>
              <w:ind w:left="2"/>
              <w:jc w:val="both"/>
              <w:rPr>
                <w:rFonts w:ascii="Titillium" w:eastAsia="Times New Roman" w:hAnsi="Titillium" w:cs="Times New Roman"/>
                <w:sz w:val="16"/>
                <w:szCs w:val="16"/>
              </w:rPr>
            </w:pPr>
            <w:r>
              <w:rPr>
                <w:rFonts w:ascii="Titillium" w:eastAsia="Times New Roman" w:hAnsi="Titillium" w:cs="Times New Roman"/>
                <w:sz w:val="16"/>
                <w:szCs w:val="16"/>
              </w:rPr>
              <w:t>wysokość zabudowy</w:t>
            </w:r>
          </w:p>
        </w:tc>
        <w:tc>
          <w:tcPr>
            <w:tcW w:w="4819" w:type="dxa"/>
            <w:tcBorders>
              <w:top w:val="single" w:sz="4" w:space="0" w:color="000000"/>
              <w:left w:val="single" w:sz="4" w:space="0" w:color="000000"/>
              <w:bottom w:val="single" w:sz="4" w:space="0" w:color="000000"/>
              <w:right w:val="single" w:sz="4" w:space="0" w:color="000000"/>
            </w:tcBorders>
          </w:tcPr>
          <w:p w14:paraId="665F5965" w14:textId="77777777" w:rsidR="003D4442" w:rsidRPr="00D63FC3" w:rsidRDefault="003D4442" w:rsidP="00794ED2">
            <w:pPr>
              <w:ind w:left="4"/>
              <w:rPr>
                <w:rFonts w:ascii="Titillium" w:eastAsia="Times New Roman" w:hAnsi="Titillium" w:cs="Times New Roman"/>
                <w:sz w:val="16"/>
                <w:szCs w:val="16"/>
              </w:rPr>
            </w:pPr>
          </w:p>
          <w:p w14:paraId="3EE5871F" w14:textId="37201F59" w:rsidR="003D4442" w:rsidRPr="00D63FC3" w:rsidRDefault="003D4442" w:rsidP="00794ED2">
            <w:pPr>
              <w:ind w:left="4"/>
              <w:rPr>
                <w:rFonts w:ascii="Titillium" w:eastAsia="Times New Roman" w:hAnsi="Titillium" w:cs="Times New Roman"/>
                <w:sz w:val="16"/>
                <w:szCs w:val="16"/>
              </w:rPr>
            </w:pPr>
            <w:r w:rsidRPr="00D63FC3">
              <w:rPr>
                <w:rFonts w:ascii="Titillium" w:eastAsia="Times New Roman" w:hAnsi="Titillium" w:cs="Times New Roman"/>
                <w:sz w:val="16"/>
                <w:szCs w:val="16"/>
              </w:rPr>
              <w:t>nie dotyczy</w:t>
            </w:r>
          </w:p>
        </w:tc>
      </w:tr>
      <w:tr w:rsidR="002C5935" w:rsidRPr="003357EB" w14:paraId="67042DEB" w14:textId="77777777" w:rsidTr="00794ED2">
        <w:tblPrEx>
          <w:tblCellMar>
            <w:top w:w="59" w:type="dxa"/>
          </w:tblCellMar>
        </w:tblPrEx>
        <w:trPr>
          <w:gridAfter w:val="1"/>
          <w:wAfter w:w="5650" w:type="dxa"/>
          <w:trHeight w:val="759"/>
        </w:trPr>
        <w:tc>
          <w:tcPr>
            <w:tcW w:w="2830" w:type="dxa"/>
            <w:vMerge w:val="restart"/>
            <w:tcBorders>
              <w:top w:val="single" w:sz="4" w:space="0" w:color="000000"/>
              <w:left w:val="single" w:sz="4" w:space="0" w:color="000000"/>
              <w:right w:val="single" w:sz="4" w:space="0" w:color="000000"/>
            </w:tcBorders>
            <w:shd w:val="clear" w:color="auto" w:fill="F3F3F3"/>
          </w:tcPr>
          <w:p w14:paraId="7AED3C5E" w14:textId="31F615AA" w:rsidR="002C5935" w:rsidRPr="000617DA" w:rsidRDefault="002C5935" w:rsidP="00794ED2">
            <w:pPr>
              <w:spacing w:after="185"/>
              <w:ind w:right="305"/>
              <w:rPr>
                <w:rFonts w:ascii="Titillium" w:eastAsia="Times New Roman" w:hAnsi="Titillium" w:cs="Times New Roman"/>
                <w:sz w:val="12"/>
                <w:szCs w:val="12"/>
              </w:rPr>
            </w:pPr>
            <w:r w:rsidRPr="003357EB">
              <w:rPr>
                <w:rFonts w:ascii="Titillium" w:eastAsia="Times New Roman" w:hAnsi="Titillium" w:cs="Times New Roman"/>
                <w:sz w:val="16"/>
                <w:szCs w:val="16"/>
              </w:rPr>
              <w:t>Informacje dotyczące przewidzianych inwestycji w promieniu 1 km od terenu objętego przedsięwzięciem deweloperskim lub zadaniem inwestycyjny</w:t>
            </w:r>
            <w:r>
              <w:rPr>
                <w:rFonts w:ascii="Titillium" w:eastAsia="Times New Roman" w:hAnsi="Titillium" w:cs="Times New Roman"/>
                <w:sz w:val="16"/>
                <w:szCs w:val="16"/>
              </w:rPr>
              <w:t>m</w:t>
            </w:r>
            <w:r>
              <w:rPr>
                <w:rFonts w:ascii="Titillium" w:eastAsia="Times New Roman" w:hAnsi="Titillium" w:cs="Times New Roman"/>
                <w:sz w:val="12"/>
                <w:szCs w:val="12"/>
              </w:rPr>
              <w:t>6)</w:t>
            </w:r>
            <w:r w:rsidRPr="003357EB">
              <w:rPr>
                <w:rFonts w:ascii="Titillium" w:eastAsia="Times New Roman" w:hAnsi="Titillium" w:cs="Times New Roman"/>
                <w:sz w:val="16"/>
                <w:szCs w:val="16"/>
              </w:rPr>
              <w:t xml:space="preserve">, zawarte w: </w:t>
            </w:r>
          </w:p>
          <w:p w14:paraId="7A31E4D2" w14:textId="77777777" w:rsidR="002C5935" w:rsidRPr="003357EB" w:rsidRDefault="002C5935" w:rsidP="00794ED2">
            <w:pPr>
              <w:rPr>
                <w:rFonts w:ascii="Titillium" w:hAnsi="Titillium"/>
                <w:sz w:val="16"/>
                <w:szCs w:val="16"/>
              </w:rPr>
            </w:pPr>
            <w:r w:rsidRPr="003357EB">
              <w:rPr>
                <w:rFonts w:ascii="Titillium" w:eastAsia="Times New Roman" w:hAnsi="Titillium" w:cs="Times New Roman"/>
                <w:sz w:val="16"/>
                <w:szCs w:val="16"/>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7244419" w14:textId="59834DAB" w:rsidR="002C5935" w:rsidRPr="003357EB" w:rsidRDefault="002C5935" w:rsidP="00794ED2">
            <w:pPr>
              <w:ind w:left="2"/>
              <w:rPr>
                <w:rFonts w:ascii="Titillium" w:hAnsi="Titillium"/>
                <w:sz w:val="16"/>
                <w:szCs w:val="16"/>
              </w:rPr>
            </w:pPr>
            <w:r>
              <w:rPr>
                <w:rFonts w:ascii="Titillium" w:eastAsia="Times New Roman" w:hAnsi="Titillium" w:cs="Times New Roman"/>
                <w:sz w:val="16"/>
                <w:szCs w:val="16"/>
              </w:rPr>
              <w:t>m</w:t>
            </w:r>
            <w:r w:rsidRPr="003357EB">
              <w:rPr>
                <w:rFonts w:ascii="Titillium" w:eastAsia="Times New Roman" w:hAnsi="Titillium" w:cs="Times New Roman"/>
                <w:sz w:val="16"/>
                <w:szCs w:val="16"/>
              </w:rPr>
              <w:t>iejscowych</w:t>
            </w:r>
            <w:r>
              <w:rPr>
                <w:rFonts w:ascii="Titillium" w:eastAsia="Times New Roman" w:hAnsi="Titillium" w:cs="Times New Roman"/>
                <w:sz w:val="16"/>
                <w:szCs w:val="16"/>
              </w:rPr>
              <w:t xml:space="preserve"> </w:t>
            </w:r>
            <w:r w:rsidRPr="003357EB">
              <w:rPr>
                <w:rFonts w:ascii="Titillium" w:eastAsia="Times New Roman" w:hAnsi="Titillium" w:cs="Times New Roman"/>
                <w:sz w:val="16"/>
                <w:szCs w:val="16"/>
              </w:rPr>
              <w:t xml:space="preserve">planach zagospodarowania przestrzennego </w:t>
            </w:r>
          </w:p>
        </w:tc>
        <w:tc>
          <w:tcPr>
            <w:tcW w:w="4819" w:type="dxa"/>
            <w:tcBorders>
              <w:top w:val="single" w:sz="4" w:space="0" w:color="000000"/>
              <w:left w:val="single" w:sz="4" w:space="0" w:color="000000"/>
              <w:bottom w:val="single" w:sz="4" w:space="0" w:color="000000"/>
              <w:right w:val="single" w:sz="4" w:space="0" w:color="000000"/>
            </w:tcBorders>
          </w:tcPr>
          <w:p w14:paraId="05218A27" w14:textId="5F026783" w:rsidR="002C5935" w:rsidRPr="00451CE2" w:rsidRDefault="002C5935" w:rsidP="00794ED2">
            <w:pPr>
              <w:ind w:left="4"/>
              <w:jc w:val="both"/>
              <w:rPr>
                <w:rFonts w:ascii="Titillium" w:hAnsi="Titillium"/>
                <w:sz w:val="16"/>
                <w:szCs w:val="16"/>
              </w:rPr>
            </w:pPr>
            <w:r w:rsidRPr="00451CE2">
              <w:rPr>
                <w:rFonts w:ascii="Titillium" w:hAnsi="Titillium"/>
                <w:sz w:val="16"/>
                <w:szCs w:val="16"/>
              </w:rPr>
              <w:t xml:space="preserve">Z treścią obowiązujących planów miejscowych można zapoznać się poprzez stronę internetową Biuletynu Informacji Publicznej Urzędu Miejskiego w Białymstoku: </w:t>
            </w:r>
          </w:p>
          <w:p w14:paraId="2D94206C" w14:textId="52871EE2" w:rsidR="002C5935" w:rsidRPr="00451CE2" w:rsidRDefault="002C5935" w:rsidP="00794ED2">
            <w:pPr>
              <w:ind w:left="4"/>
              <w:jc w:val="both"/>
              <w:rPr>
                <w:rFonts w:ascii="Titillium" w:hAnsi="Titillium"/>
                <w:sz w:val="16"/>
                <w:szCs w:val="16"/>
              </w:rPr>
            </w:pPr>
            <w:hyperlink r:id="rId9" w:history="1">
              <w:r w:rsidRPr="00451CE2">
                <w:rPr>
                  <w:rStyle w:val="Hipercze"/>
                  <w:rFonts w:ascii="Titillium" w:hAnsi="Titillium"/>
                  <w:color w:val="auto"/>
                  <w:sz w:val="16"/>
                  <w:szCs w:val="16"/>
                </w:rPr>
                <w:t>https://www.bip.bialystok.pl</w:t>
              </w:r>
            </w:hyperlink>
            <w:r w:rsidRPr="00451CE2">
              <w:rPr>
                <w:rStyle w:val="Hipercze"/>
                <w:rFonts w:ascii="Titillium" w:hAnsi="Titillium"/>
                <w:color w:val="auto"/>
                <w:sz w:val="16"/>
                <w:szCs w:val="16"/>
              </w:rPr>
              <w:t xml:space="preserve"> </w:t>
            </w:r>
            <w:r w:rsidRPr="00451CE2">
              <w:rPr>
                <w:rFonts w:ascii="Titillium" w:hAnsi="Titillium"/>
                <w:sz w:val="16"/>
                <w:szCs w:val="16"/>
              </w:rPr>
              <w:t xml:space="preserve">zakładka „Rozwój Gminy”, Zagospodarowanie przestrzenne (nastąpi przekierowanie do strony </w:t>
            </w:r>
            <w:hyperlink r:id="rId10" w:history="1">
              <w:r w:rsidRPr="00451CE2">
                <w:rPr>
                  <w:rStyle w:val="Hipercze"/>
                  <w:rFonts w:ascii="Titillium" w:hAnsi="Titillium"/>
                  <w:color w:val="auto"/>
                  <w:sz w:val="16"/>
                  <w:szCs w:val="16"/>
                </w:rPr>
                <w:t>www.bialystok.pl</w:t>
              </w:r>
            </w:hyperlink>
            <w:r w:rsidRPr="00451CE2">
              <w:rPr>
                <w:rFonts w:ascii="Titillium" w:hAnsi="Titillium"/>
                <w:sz w:val="16"/>
                <w:szCs w:val="16"/>
              </w:rPr>
              <w:t xml:space="preserve"> do zakładki „Zagospodarowanie przestrzenne”). Następnie po wybraniu z lewej strony zakładki „Serwis planów GIS” nastąpi przeniesienie do Miejskiego Systemu Informacji Przestrzennej – Serwis plany.</w:t>
            </w:r>
          </w:p>
          <w:p w14:paraId="642B5388" w14:textId="4293B6B1" w:rsidR="002C5935" w:rsidRPr="005E408A" w:rsidRDefault="002C5935" w:rsidP="00451CE2">
            <w:pPr>
              <w:ind w:left="4"/>
              <w:jc w:val="both"/>
              <w:rPr>
                <w:rFonts w:ascii="Titillium" w:hAnsi="Titillium"/>
                <w:color w:val="FF0000"/>
                <w:sz w:val="16"/>
                <w:szCs w:val="16"/>
              </w:rPr>
            </w:pPr>
            <w:r w:rsidRPr="00451CE2">
              <w:rPr>
                <w:rFonts w:ascii="Titillium" w:hAnsi="Titillium"/>
                <w:sz w:val="16"/>
                <w:szCs w:val="16"/>
              </w:rPr>
              <w:t xml:space="preserve">W serwisie tym zamieszczona jest interaktywna mapa </w:t>
            </w:r>
            <w:r w:rsidR="00451CE2" w:rsidRPr="00451CE2">
              <w:rPr>
                <w:rFonts w:ascii="Titillium" w:hAnsi="Titillium"/>
                <w:sz w:val="16"/>
                <w:szCs w:val="16"/>
              </w:rPr>
              <w:t>pokrycia miasta planami zagospodarowania przestrzennego umożliwiająca odczytanie niezbędnych informacji</w:t>
            </w:r>
            <w:r w:rsidRPr="00451CE2">
              <w:rPr>
                <w:rFonts w:ascii="Titillium" w:hAnsi="Titillium"/>
                <w:sz w:val="16"/>
                <w:szCs w:val="16"/>
              </w:rPr>
              <w:t>. Sposobem odczytania niezbędnych informacji jest</w:t>
            </w:r>
            <w:r w:rsidR="00451CE2" w:rsidRPr="00451CE2">
              <w:rPr>
                <w:rFonts w:ascii="Titillium" w:hAnsi="Titillium"/>
                <w:sz w:val="16"/>
                <w:szCs w:val="16"/>
              </w:rPr>
              <w:t xml:space="preserve"> </w:t>
            </w:r>
            <w:r w:rsidRPr="00451CE2">
              <w:rPr>
                <w:rFonts w:ascii="Titillium" w:hAnsi="Titillium"/>
                <w:sz w:val="16"/>
                <w:szCs w:val="16"/>
              </w:rPr>
              <w:t xml:space="preserve">wyszukanie (działki lub punktu adresowego) za pomocą lupy znajdującej się na granatowym pasku w </w:t>
            </w:r>
            <w:r w:rsidRPr="00451CE2">
              <w:rPr>
                <w:rFonts w:ascii="Titillium" w:hAnsi="Titillium"/>
                <w:sz w:val="16"/>
                <w:szCs w:val="16"/>
              </w:rPr>
              <w:lastRenderedPageBreak/>
              <w:t>górnej części ekranu. Po kliknięciu lewym przyciskiem myszy na wyszukany na mapie punkt adresowy lub działkę także otworzy się okno z linkiem do tekstu oraz mapy obowiązującego na tym terenie planu miejscowego</w:t>
            </w:r>
            <w:r w:rsidR="00F6282F">
              <w:rPr>
                <w:rFonts w:ascii="Titillium" w:hAnsi="Titillium"/>
                <w:sz w:val="16"/>
                <w:szCs w:val="16"/>
              </w:rPr>
              <w:t xml:space="preserve"> lub jego zmianę</w:t>
            </w:r>
            <w:r w:rsidRPr="00451CE2">
              <w:rPr>
                <w:rFonts w:ascii="Titillium" w:hAnsi="Titillium"/>
                <w:sz w:val="16"/>
                <w:szCs w:val="16"/>
              </w:rPr>
              <w:t>.</w:t>
            </w:r>
          </w:p>
          <w:p w14:paraId="75555E00" w14:textId="59FA91BC" w:rsidR="002C5935" w:rsidRPr="005E408A" w:rsidRDefault="002C5935" w:rsidP="00794ED2">
            <w:pPr>
              <w:ind w:left="4"/>
              <w:jc w:val="both"/>
              <w:rPr>
                <w:rFonts w:ascii="Titillium" w:hAnsi="Titillium"/>
                <w:color w:val="FF0000"/>
                <w:sz w:val="16"/>
                <w:szCs w:val="16"/>
              </w:rPr>
            </w:pPr>
            <w:r w:rsidRPr="00991396">
              <w:rPr>
                <w:rFonts w:ascii="Titillium" w:hAnsi="Titillium"/>
                <w:sz w:val="16"/>
                <w:szCs w:val="16"/>
              </w:rPr>
              <w:t xml:space="preserve">Na stronie </w:t>
            </w:r>
            <w:r w:rsidRPr="00991396">
              <w:t xml:space="preserve"> </w:t>
            </w:r>
            <w:r w:rsidRPr="00991396">
              <w:rPr>
                <w:rFonts w:ascii="Titillium" w:hAnsi="Titillium"/>
                <w:sz w:val="16"/>
                <w:szCs w:val="16"/>
              </w:rPr>
              <w:t>internetową Biuletynu Informacji Publicznej Urzędu Miejskiego w Białymstoku (https://www.bip.bialystok.pl), zakładka „Rozwój Gminy”, Zagospodarowanie przestrzenn</w:t>
            </w:r>
            <w:r w:rsidR="00451CE2" w:rsidRPr="00991396">
              <w:rPr>
                <w:rFonts w:ascii="Titillium" w:hAnsi="Titillium"/>
                <w:sz w:val="16"/>
                <w:szCs w:val="16"/>
              </w:rPr>
              <w:t xml:space="preserve">e, Dokumenty planistyczne </w:t>
            </w:r>
            <w:r w:rsidRPr="00991396">
              <w:rPr>
                <w:rFonts w:ascii="Titillium" w:hAnsi="Titillium"/>
                <w:sz w:val="16"/>
                <w:szCs w:val="16"/>
              </w:rPr>
              <w:t xml:space="preserve">opublikowane zostało m.in. obowiązujące Studium uwarunkowań i kierunków zagospodarowania przestrzennego. </w:t>
            </w:r>
          </w:p>
        </w:tc>
      </w:tr>
      <w:tr w:rsidR="002C5935" w:rsidRPr="003357EB" w14:paraId="2F767A3A" w14:textId="77777777" w:rsidTr="00794ED2">
        <w:tblPrEx>
          <w:tblCellMar>
            <w:top w:w="59" w:type="dxa"/>
          </w:tblCellMar>
        </w:tblPrEx>
        <w:trPr>
          <w:gridAfter w:val="1"/>
          <w:wAfter w:w="5650" w:type="dxa"/>
          <w:trHeight w:val="528"/>
        </w:trPr>
        <w:tc>
          <w:tcPr>
            <w:tcW w:w="2830" w:type="dxa"/>
            <w:vMerge/>
            <w:tcBorders>
              <w:left w:val="single" w:sz="4" w:space="0" w:color="000000"/>
              <w:right w:val="single" w:sz="4" w:space="0" w:color="000000"/>
            </w:tcBorders>
          </w:tcPr>
          <w:p w14:paraId="22001D40" w14:textId="77777777" w:rsidR="002C5935" w:rsidRPr="003357EB" w:rsidRDefault="002C5935"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tcPr>
          <w:p w14:paraId="796ED90B" w14:textId="77777777" w:rsidR="002C5935" w:rsidRPr="003357EB" w:rsidRDefault="002C5935" w:rsidP="00794ED2">
            <w:pPr>
              <w:ind w:left="2" w:right="406"/>
              <w:rPr>
                <w:rFonts w:ascii="Titillium" w:hAnsi="Titillium"/>
                <w:sz w:val="16"/>
                <w:szCs w:val="16"/>
              </w:rPr>
            </w:pPr>
            <w:r w:rsidRPr="003357EB">
              <w:rPr>
                <w:rFonts w:ascii="Titillium" w:eastAsia="Times New Roman" w:hAnsi="Titillium" w:cs="Times New Roman"/>
                <w:sz w:val="16"/>
                <w:szCs w:val="16"/>
              </w:rPr>
              <w:t xml:space="preserve">decyzjach o warunkach zabudowy i zagospodarowania terenu </w:t>
            </w:r>
          </w:p>
        </w:tc>
        <w:tc>
          <w:tcPr>
            <w:tcW w:w="4819" w:type="dxa"/>
            <w:tcBorders>
              <w:top w:val="single" w:sz="4" w:space="0" w:color="000000"/>
              <w:left w:val="single" w:sz="4" w:space="0" w:color="000000"/>
              <w:bottom w:val="single" w:sz="4" w:space="0" w:color="000000"/>
              <w:right w:val="single" w:sz="4" w:space="0" w:color="000000"/>
            </w:tcBorders>
            <w:vAlign w:val="center"/>
          </w:tcPr>
          <w:p w14:paraId="22FAD031" w14:textId="5BE8D77F" w:rsidR="002C5935" w:rsidRPr="00991396" w:rsidRDefault="002C5935" w:rsidP="00794ED2">
            <w:pPr>
              <w:ind w:left="4"/>
              <w:jc w:val="both"/>
              <w:rPr>
                <w:rFonts w:ascii="Titillium" w:hAnsi="Titillium"/>
                <w:sz w:val="16"/>
                <w:szCs w:val="16"/>
              </w:rPr>
            </w:pPr>
            <w:r w:rsidRPr="00991396">
              <w:rPr>
                <w:rFonts w:ascii="Titillium" w:eastAsia="Times New Roman" w:hAnsi="Titillium" w:cs="Times New Roman"/>
                <w:sz w:val="16"/>
                <w:szCs w:val="16"/>
              </w:rPr>
              <w:t xml:space="preserve"> - i</w:t>
            </w:r>
            <w:r w:rsidRPr="00991396">
              <w:rPr>
                <w:rFonts w:ascii="Titillium" w:hAnsi="Titillium"/>
                <w:sz w:val="16"/>
                <w:szCs w:val="16"/>
              </w:rPr>
              <w:t xml:space="preserve">nformacje o wydanych na tym terenie pozwoleniach na budowę dostępne są na stronie </w:t>
            </w:r>
            <w:hyperlink r:id="rId11" w:history="1">
              <w:r w:rsidRPr="00991396">
                <w:rPr>
                  <w:rStyle w:val="Hipercze"/>
                  <w:rFonts w:ascii="Titillium" w:hAnsi="Titillium"/>
                  <w:color w:val="auto"/>
                  <w:sz w:val="16"/>
                  <w:szCs w:val="16"/>
                </w:rPr>
                <w:t>https://www.bip.bialystok.pl/</w:t>
              </w:r>
            </w:hyperlink>
            <w:r w:rsidRPr="00991396">
              <w:rPr>
                <w:rFonts w:ascii="Titillium" w:hAnsi="Titillium"/>
                <w:sz w:val="16"/>
                <w:szCs w:val="16"/>
              </w:rPr>
              <w:t xml:space="preserve"> , zakładka „Urząd Miejski” , „Rejestr pozwoleń na budowę”</w:t>
            </w:r>
          </w:p>
          <w:p w14:paraId="791E5A7B" w14:textId="71F42C56" w:rsidR="002C5935" w:rsidRPr="00991396" w:rsidRDefault="002C5935" w:rsidP="00794ED2">
            <w:pPr>
              <w:ind w:left="4"/>
              <w:jc w:val="both"/>
              <w:rPr>
                <w:rFonts w:ascii="Titillium" w:hAnsi="Titillium"/>
                <w:sz w:val="16"/>
                <w:szCs w:val="16"/>
              </w:rPr>
            </w:pPr>
            <w:r w:rsidRPr="00991396">
              <w:rPr>
                <w:rFonts w:ascii="Titillium" w:hAnsi="Titillium"/>
                <w:sz w:val="16"/>
                <w:szCs w:val="16"/>
              </w:rPr>
              <w:t xml:space="preserve">- informacje o wydanych do końca 2022 r. decyzjach o zezwoleniu na realizację inwestycji drogowych (dalej: decyzje ZRID)  dostępne są na stronie </w:t>
            </w:r>
            <w:hyperlink r:id="rId12" w:history="1">
              <w:r w:rsidRPr="00991396">
                <w:rPr>
                  <w:rStyle w:val="Hipercze"/>
                  <w:rFonts w:ascii="Titillium" w:hAnsi="Titillium"/>
                  <w:color w:val="auto"/>
                  <w:sz w:val="16"/>
                  <w:szCs w:val="16"/>
                </w:rPr>
                <w:t>https://www.bip.bialystok.pl/</w:t>
              </w:r>
            </w:hyperlink>
            <w:r w:rsidRPr="00991396">
              <w:rPr>
                <w:rFonts w:ascii="Titillium" w:hAnsi="Titillium"/>
                <w:sz w:val="16"/>
                <w:szCs w:val="16"/>
              </w:rPr>
              <w:t xml:space="preserve"> , zakładka „Urząd Miejski”. Informacje o wydanych w bieżącym roku kalendarzowym decyzjach ZRID są natomiast opublikowane w drodze </w:t>
            </w:r>
            <w:proofErr w:type="spellStart"/>
            <w:r w:rsidRPr="00991396">
              <w:rPr>
                <w:rFonts w:ascii="Titillium" w:hAnsi="Titillium"/>
                <w:sz w:val="16"/>
                <w:szCs w:val="16"/>
              </w:rPr>
              <w:t>obwieszczeń</w:t>
            </w:r>
            <w:proofErr w:type="spellEnd"/>
            <w:r w:rsidRPr="00991396">
              <w:rPr>
                <w:rFonts w:ascii="Titillium" w:hAnsi="Titillium"/>
                <w:sz w:val="16"/>
                <w:szCs w:val="16"/>
              </w:rPr>
              <w:t xml:space="preserve"> na stronie </w:t>
            </w:r>
            <w:hyperlink r:id="rId13" w:history="1">
              <w:r w:rsidRPr="00991396">
                <w:rPr>
                  <w:rStyle w:val="Hipercze"/>
                  <w:rFonts w:ascii="Titillium" w:hAnsi="Titillium"/>
                  <w:color w:val="auto"/>
                  <w:sz w:val="16"/>
                  <w:szCs w:val="16"/>
                </w:rPr>
                <w:t>https://www.bip.bialystok.pl/</w:t>
              </w:r>
            </w:hyperlink>
            <w:r w:rsidRPr="00991396">
              <w:rPr>
                <w:rFonts w:ascii="Titillium" w:hAnsi="Titillium"/>
                <w:sz w:val="16"/>
                <w:szCs w:val="16"/>
              </w:rPr>
              <w:t xml:space="preserve"> , zakładka „Urząd Miejski”, zakładka „Aktualności”</w:t>
            </w:r>
          </w:p>
          <w:p w14:paraId="3124ADD1" w14:textId="77777777" w:rsidR="002C5935" w:rsidRPr="00991396" w:rsidRDefault="002C5935" w:rsidP="00794ED2">
            <w:pPr>
              <w:ind w:left="4"/>
              <w:jc w:val="both"/>
              <w:rPr>
                <w:rFonts w:ascii="Titillium" w:hAnsi="Titillium"/>
                <w:sz w:val="16"/>
                <w:szCs w:val="16"/>
              </w:rPr>
            </w:pPr>
            <w:r w:rsidRPr="00991396">
              <w:rPr>
                <w:rFonts w:ascii="Titillium" w:hAnsi="Titillium"/>
                <w:sz w:val="16"/>
                <w:szCs w:val="16"/>
              </w:rPr>
              <w:t xml:space="preserve">- informacje dotyczące planowanych inwestycji na terenie miasta można uzyskać z budżetu miasta Białegostoku udostępnionego na stronie </w:t>
            </w:r>
          </w:p>
          <w:p w14:paraId="2C896F10" w14:textId="52266294" w:rsidR="002C5935" w:rsidRPr="005E408A" w:rsidRDefault="002C5935" w:rsidP="00794ED2">
            <w:pPr>
              <w:jc w:val="both"/>
              <w:rPr>
                <w:rFonts w:ascii="Titillium" w:hAnsi="Titillium"/>
                <w:color w:val="FF0000"/>
                <w:sz w:val="16"/>
                <w:szCs w:val="16"/>
              </w:rPr>
            </w:pPr>
            <w:hyperlink r:id="rId14" w:history="1">
              <w:r w:rsidRPr="00991396">
                <w:rPr>
                  <w:rStyle w:val="Hipercze"/>
                  <w:rFonts w:ascii="Titillium" w:hAnsi="Titillium"/>
                  <w:color w:val="auto"/>
                  <w:sz w:val="16"/>
                  <w:szCs w:val="16"/>
                </w:rPr>
                <w:t>https://www.bip.bialystok.pl/finanse/budzet_miasta/</w:t>
              </w:r>
            </w:hyperlink>
          </w:p>
        </w:tc>
      </w:tr>
      <w:tr w:rsidR="002C5935" w:rsidRPr="003357EB" w14:paraId="74B3D79D" w14:textId="77777777" w:rsidTr="00794ED2">
        <w:tblPrEx>
          <w:tblCellMar>
            <w:top w:w="59" w:type="dxa"/>
          </w:tblCellMar>
        </w:tblPrEx>
        <w:trPr>
          <w:gridAfter w:val="1"/>
          <w:wAfter w:w="5650" w:type="dxa"/>
          <w:trHeight w:val="502"/>
        </w:trPr>
        <w:tc>
          <w:tcPr>
            <w:tcW w:w="2830" w:type="dxa"/>
            <w:vMerge/>
            <w:tcBorders>
              <w:left w:val="single" w:sz="4" w:space="0" w:color="000000"/>
              <w:right w:val="single" w:sz="4" w:space="0" w:color="000000"/>
            </w:tcBorders>
          </w:tcPr>
          <w:p w14:paraId="6F3BCC7F" w14:textId="77777777" w:rsidR="002C5935" w:rsidRPr="003357EB" w:rsidRDefault="002C5935"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42124A3" w14:textId="77777777" w:rsidR="002C5935" w:rsidRPr="003357EB" w:rsidRDefault="002C5935" w:rsidP="00794ED2">
            <w:pPr>
              <w:ind w:left="2"/>
              <w:rPr>
                <w:rFonts w:ascii="Titillium" w:hAnsi="Titillium"/>
                <w:sz w:val="16"/>
                <w:szCs w:val="16"/>
              </w:rPr>
            </w:pPr>
            <w:r w:rsidRPr="003357EB">
              <w:rPr>
                <w:rFonts w:ascii="Titillium" w:eastAsia="Times New Roman" w:hAnsi="Titillium" w:cs="Times New Roman"/>
                <w:sz w:val="16"/>
                <w:szCs w:val="16"/>
              </w:rPr>
              <w:t xml:space="preserve">decyzjach o środowiskowych uwarunkowaniach </w:t>
            </w:r>
          </w:p>
        </w:tc>
        <w:tc>
          <w:tcPr>
            <w:tcW w:w="4819" w:type="dxa"/>
            <w:tcBorders>
              <w:top w:val="single" w:sz="4" w:space="0" w:color="000000"/>
              <w:left w:val="single" w:sz="4" w:space="0" w:color="000000"/>
              <w:bottom w:val="single" w:sz="4" w:space="0" w:color="000000"/>
              <w:right w:val="single" w:sz="4" w:space="0" w:color="000000"/>
            </w:tcBorders>
          </w:tcPr>
          <w:p w14:paraId="6D8E7D08" w14:textId="77777777" w:rsidR="002C5935" w:rsidRPr="00991396" w:rsidRDefault="002C5935" w:rsidP="00794ED2">
            <w:pPr>
              <w:ind w:left="4"/>
              <w:jc w:val="both"/>
              <w:rPr>
                <w:rFonts w:ascii="Titillium" w:eastAsia="Times New Roman" w:hAnsi="Titillium" w:cs="Times New Roman"/>
                <w:sz w:val="16"/>
                <w:szCs w:val="16"/>
              </w:rPr>
            </w:pPr>
            <w:r w:rsidRPr="005E408A">
              <w:rPr>
                <w:rFonts w:ascii="Titillium" w:eastAsia="Times New Roman" w:hAnsi="Titillium" w:cs="Times New Roman"/>
                <w:color w:val="FF0000"/>
                <w:sz w:val="16"/>
                <w:szCs w:val="16"/>
              </w:rPr>
              <w:t xml:space="preserve"> </w:t>
            </w:r>
            <w:r w:rsidRPr="00991396">
              <w:rPr>
                <w:rFonts w:ascii="Titillium" w:eastAsia="Times New Roman" w:hAnsi="Titillium" w:cs="Times New Roman"/>
                <w:sz w:val="16"/>
                <w:szCs w:val="16"/>
              </w:rPr>
              <w:t xml:space="preserve">- decyzje o środowiskowych uwarunkowaniach wydane przez Prezydenta Miasta Białegostoku są publikowane na stronie internetowej Biuletynu Informacji Publicznej Urzędu Miejskiego w Białymstoku pod adresem </w:t>
            </w:r>
          </w:p>
          <w:p w14:paraId="5C7984E3" w14:textId="4140D39A" w:rsidR="002C5935" w:rsidRPr="00991396" w:rsidRDefault="002C5935" w:rsidP="00794ED2">
            <w:pPr>
              <w:ind w:left="4"/>
              <w:jc w:val="both"/>
              <w:rPr>
                <w:rFonts w:ascii="Titillium" w:hAnsi="Titillium"/>
                <w:sz w:val="16"/>
                <w:szCs w:val="16"/>
                <w:u w:val="single"/>
              </w:rPr>
            </w:pPr>
            <w:r w:rsidRPr="00991396">
              <w:rPr>
                <w:rFonts w:ascii="Titillium" w:hAnsi="Titillium"/>
                <w:sz w:val="16"/>
                <w:szCs w:val="16"/>
              </w:rPr>
              <w:t>https://www.bip.bialystok.pl/urzad_miejski/</w:t>
            </w:r>
          </w:p>
          <w:p w14:paraId="33F5BA2E" w14:textId="77777777" w:rsidR="002C5935" w:rsidRDefault="002C5935" w:rsidP="00794ED2">
            <w:pPr>
              <w:jc w:val="both"/>
              <w:rPr>
                <w:rFonts w:ascii="Titillium" w:hAnsi="Titillium"/>
                <w:sz w:val="16"/>
                <w:szCs w:val="16"/>
                <w:u w:val="single"/>
              </w:rPr>
            </w:pPr>
            <w:proofErr w:type="spellStart"/>
            <w:r w:rsidRPr="00991396">
              <w:rPr>
                <w:rFonts w:ascii="Titillium" w:hAnsi="Titillium"/>
                <w:sz w:val="16"/>
                <w:szCs w:val="16"/>
                <w:u w:val="single"/>
              </w:rPr>
              <w:t>rejestry_ewidencje_archiwa</w:t>
            </w:r>
            <w:proofErr w:type="spellEnd"/>
            <w:r w:rsidRPr="00991396">
              <w:rPr>
                <w:rFonts w:ascii="Titillium" w:hAnsi="Titillium"/>
                <w:sz w:val="16"/>
                <w:szCs w:val="16"/>
                <w:u w:val="single"/>
              </w:rPr>
              <w:t>/publicznie-dostepny-wykaz-danych.html</w:t>
            </w:r>
          </w:p>
          <w:p w14:paraId="66876ED5" w14:textId="761893D9" w:rsidR="009B5132" w:rsidRPr="009B5132" w:rsidRDefault="009B5132" w:rsidP="00794ED2">
            <w:pPr>
              <w:jc w:val="both"/>
              <w:rPr>
                <w:rFonts w:ascii="Titillium" w:hAnsi="Titillium"/>
                <w:color w:val="FF0000"/>
                <w:sz w:val="16"/>
                <w:szCs w:val="16"/>
              </w:rPr>
            </w:pPr>
            <w:r w:rsidRPr="009B5132">
              <w:rPr>
                <w:rFonts w:ascii="Titillium" w:hAnsi="Titillium"/>
                <w:sz w:val="16"/>
                <w:szCs w:val="16"/>
              </w:rPr>
              <w:t xml:space="preserve"> - program ochrony środowiska przed hałasem dla miasta Białegostoku</w:t>
            </w:r>
            <w:r>
              <w:rPr>
                <w:rFonts w:ascii="Titillium" w:hAnsi="Titillium"/>
                <w:sz w:val="16"/>
                <w:szCs w:val="16"/>
              </w:rPr>
              <w:t xml:space="preserve"> na lata 2021-2024 z perspektywą na lata 2025-2028 są dostępne na stronie internetowej Biuletynu Informacji Publicznej Urzędu Miejskiego w Białymstoku, w zakładce „Rozwój Gminy”, „Programy”, Ochrona Środowisk</w:t>
            </w:r>
            <w:r w:rsidR="00F93ECA">
              <w:rPr>
                <w:rFonts w:ascii="Titillium" w:hAnsi="Titillium"/>
                <w:sz w:val="16"/>
                <w:szCs w:val="16"/>
              </w:rPr>
              <w:t>a”</w:t>
            </w:r>
          </w:p>
        </w:tc>
      </w:tr>
      <w:tr w:rsidR="002C5935" w:rsidRPr="003357EB" w14:paraId="38C8F228" w14:textId="77777777" w:rsidTr="00794ED2">
        <w:tblPrEx>
          <w:tblCellMar>
            <w:top w:w="59" w:type="dxa"/>
          </w:tblCellMar>
        </w:tblPrEx>
        <w:trPr>
          <w:gridAfter w:val="1"/>
          <w:wAfter w:w="5650" w:type="dxa"/>
          <w:trHeight w:val="563"/>
        </w:trPr>
        <w:tc>
          <w:tcPr>
            <w:tcW w:w="2830" w:type="dxa"/>
            <w:vMerge/>
            <w:tcBorders>
              <w:left w:val="single" w:sz="4" w:space="0" w:color="000000"/>
              <w:right w:val="single" w:sz="4" w:space="0" w:color="000000"/>
            </w:tcBorders>
          </w:tcPr>
          <w:p w14:paraId="32639401" w14:textId="77777777" w:rsidR="002C5935" w:rsidRPr="003357EB" w:rsidRDefault="002C5935"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131A87B" w14:textId="18A2D502" w:rsidR="002C5935" w:rsidRPr="003357EB" w:rsidRDefault="002C5935" w:rsidP="00794ED2">
            <w:pPr>
              <w:ind w:left="2"/>
              <w:rPr>
                <w:rFonts w:ascii="Titillium" w:hAnsi="Titillium"/>
                <w:sz w:val="16"/>
                <w:szCs w:val="16"/>
              </w:rPr>
            </w:pPr>
            <w:r w:rsidRPr="003357EB">
              <w:rPr>
                <w:rFonts w:ascii="Titillium" w:eastAsia="Times New Roman" w:hAnsi="Titillium" w:cs="Times New Roman"/>
                <w:sz w:val="16"/>
                <w:szCs w:val="16"/>
              </w:rPr>
              <w:t>uchwałach o obszarach ograniczonego użytkowania</w:t>
            </w:r>
          </w:p>
        </w:tc>
        <w:tc>
          <w:tcPr>
            <w:tcW w:w="4819" w:type="dxa"/>
            <w:tcBorders>
              <w:top w:val="single" w:sz="4" w:space="0" w:color="000000"/>
              <w:left w:val="single" w:sz="4" w:space="0" w:color="000000"/>
              <w:bottom w:val="single" w:sz="4" w:space="0" w:color="000000"/>
              <w:right w:val="single" w:sz="4" w:space="0" w:color="000000"/>
            </w:tcBorders>
          </w:tcPr>
          <w:p w14:paraId="59194069" w14:textId="39D25ECE" w:rsidR="002C5935" w:rsidRPr="005E408A" w:rsidRDefault="002C5935" w:rsidP="00794ED2">
            <w:pPr>
              <w:ind w:left="4"/>
              <w:rPr>
                <w:rFonts w:ascii="Titillium" w:hAnsi="Titillium"/>
                <w:color w:val="FF0000"/>
                <w:sz w:val="16"/>
                <w:szCs w:val="16"/>
              </w:rPr>
            </w:pPr>
            <w:r w:rsidRPr="00DB5E12">
              <w:rPr>
                <w:rFonts w:ascii="Titillium" w:eastAsia="Times New Roman" w:hAnsi="Titillium" w:cs="Times New Roman"/>
                <w:sz w:val="16"/>
                <w:szCs w:val="16"/>
              </w:rPr>
              <w:t>- nie ustanowiono obszaru ograniczonego użytkowania</w:t>
            </w:r>
          </w:p>
        </w:tc>
      </w:tr>
      <w:tr w:rsidR="002C5935" w:rsidRPr="003357EB" w14:paraId="641FB82C" w14:textId="77777777" w:rsidTr="00794ED2">
        <w:tblPrEx>
          <w:tblCellMar>
            <w:top w:w="59" w:type="dxa"/>
          </w:tblCellMar>
        </w:tblPrEx>
        <w:trPr>
          <w:gridAfter w:val="1"/>
          <w:wAfter w:w="5650" w:type="dxa"/>
          <w:trHeight w:val="528"/>
        </w:trPr>
        <w:tc>
          <w:tcPr>
            <w:tcW w:w="2830" w:type="dxa"/>
            <w:vMerge/>
            <w:tcBorders>
              <w:left w:val="single" w:sz="4" w:space="0" w:color="000000"/>
              <w:right w:val="single" w:sz="4" w:space="0" w:color="000000"/>
            </w:tcBorders>
          </w:tcPr>
          <w:p w14:paraId="0FFEC598" w14:textId="77777777" w:rsidR="002C5935" w:rsidRPr="003357EB" w:rsidRDefault="002C5935"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BEF22A0" w14:textId="77777777" w:rsidR="002C5935" w:rsidRPr="003357EB" w:rsidRDefault="002C5935" w:rsidP="00794ED2">
            <w:pPr>
              <w:ind w:left="2"/>
              <w:rPr>
                <w:rFonts w:ascii="Titillium" w:hAnsi="Titillium"/>
                <w:sz w:val="16"/>
                <w:szCs w:val="16"/>
              </w:rPr>
            </w:pPr>
            <w:r w:rsidRPr="003357EB">
              <w:rPr>
                <w:rFonts w:ascii="Titillium" w:eastAsia="Times New Roman" w:hAnsi="Titillium" w:cs="Times New Roman"/>
                <w:sz w:val="16"/>
                <w:szCs w:val="16"/>
              </w:rPr>
              <w:t xml:space="preserve">miejscowych planach odbudowy </w:t>
            </w:r>
          </w:p>
        </w:tc>
        <w:tc>
          <w:tcPr>
            <w:tcW w:w="4819" w:type="dxa"/>
            <w:tcBorders>
              <w:top w:val="single" w:sz="4" w:space="0" w:color="000000"/>
              <w:left w:val="single" w:sz="4" w:space="0" w:color="000000"/>
              <w:bottom w:val="single" w:sz="4" w:space="0" w:color="000000"/>
              <w:right w:val="single" w:sz="4" w:space="0" w:color="000000"/>
            </w:tcBorders>
            <w:vAlign w:val="center"/>
          </w:tcPr>
          <w:p w14:paraId="601015C3" w14:textId="2CB98443" w:rsidR="002C5935" w:rsidRPr="005E408A" w:rsidRDefault="002C5935" w:rsidP="00794ED2">
            <w:pPr>
              <w:ind w:left="4"/>
              <w:rPr>
                <w:rFonts w:ascii="Titillium" w:hAnsi="Titillium"/>
                <w:color w:val="FF0000"/>
                <w:sz w:val="16"/>
                <w:szCs w:val="16"/>
              </w:rPr>
            </w:pPr>
            <w:r w:rsidRPr="003142FA">
              <w:rPr>
                <w:rFonts w:ascii="Titillium" w:eastAsia="Times New Roman" w:hAnsi="Titillium" w:cs="Times New Roman"/>
                <w:sz w:val="16"/>
                <w:szCs w:val="16"/>
              </w:rPr>
              <w:t>- nie został uchwalony miejscowy plan odbudowy</w:t>
            </w:r>
          </w:p>
        </w:tc>
      </w:tr>
      <w:tr w:rsidR="002C5935" w:rsidRPr="003357EB" w14:paraId="49F37BE4" w14:textId="77777777" w:rsidTr="00794ED2">
        <w:tblPrEx>
          <w:tblCellMar>
            <w:top w:w="59" w:type="dxa"/>
          </w:tblCellMar>
        </w:tblPrEx>
        <w:trPr>
          <w:gridAfter w:val="1"/>
          <w:wAfter w:w="5650" w:type="dxa"/>
          <w:trHeight w:val="758"/>
        </w:trPr>
        <w:tc>
          <w:tcPr>
            <w:tcW w:w="2830" w:type="dxa"/>
            <w:vMerge/>
            <w:tcBorders>
              <w:left w:val="single" w:sz="4" w:space="0" w:color="000000"/>
              <w:right w:val="single" w:sz="4" w:space="0" w:color="000000"/>
            </w:tcBorders>
          </w:tcPr>
          <w:p w14:paraId="2FE96420" w14:textId="77777777" w:rsidR="002C5935" w:rsidRPr="003357EB" w:rsidRDefault="002C5935"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7B2E7EF" w14:textId="77777777" w:rsidR="002C5935" w:rsidRPr="003357EB" w:rsidRDefault="002C5935" w:rsidP="00794ED2">
            <w:pPr>
              <w:ind w:left="2"/>
              <w:jc w:val="both"/>
              <w:rPr>
                <w:rFonts w:ascii="Titillium" w:hAnsi="Titillium"/>
                <w:sz w:val="16"/>
                <w:szCs w:val="16"/>
              </w:rPr>
            </w:pPr>
            <w:r w:rsidRPr="003357EB">
              <w:rPr>
                <w:rFonts w:ascii="Titillium" w:eastAsia="Times New Roman" w:hAnsi="Titillium" w:cs="Times New Roman"/>
                <w:sz w:val="16"/>
                <w:szCs w:val="16"/>
              </w:rPr>
              <w:t xml:space="preserve">mapach zagrożenia powodziowego i mapach ryzyka powodziowego </w:t>
            </w:r>
          </w:p>
        </w:tc>
        <w:tc>
          <w:tcPr>
            <w:tcW w:w="4819" w:type="dxa"/>
            <w:tcBorders>
              <w:top w:val="single" w:sz="4" w:space="0" w:color="000000"/>
              <w:left w:val="single" w:sz="4" w:space="0" w:color="000000"/>
              <w:bottom w:val="single" w:sz="4" w:space="0" w:color="000000"/>
              <w:right w:val="single" w:sz="4" w:space="0" w:color="000000"/>
            </w:tcBorders>
          </w:tcPr>
          <w:p w14:paraId="46824973" w14:textId="6413B7A8" w:rsidR="002C5935" w:rsidRPr="00991396" w:rsidRDefault="002C5935" w:rsidP="00794ED2">
            <w:pPr>
              <w:ind w:left="4"/>
              <w:jc w:val="both"/>
              <w:rPr>
                <w:rFonts w:ascii="Titillium" w:eastAsia="Times New Roman" w:hAnsi="Titillium" w:cs="Times New Roman"/>
                <w:sz w:val="16"/>
                <w:szCs w:val="16"/>
              </w:rPr>
            </w:pPr>
            <w:r w:rsidRPr="00991396">
              <w:rPr>
                <w:rFonts w:ascii="Titillium" w:eastAsia="Times New Roman" w:hAnsi="Titillium" w:cs="Times New Roman"/>
                <w:sz w:val="16"/>
                <w:szCs w:val="16"/>
              </w:rPr>
              <w:t xml:space="preserve">- zgodnie art. 171 ust. 5 ustawy – Prawo wodne w dniu 7 września 2022r. zostały podane do publicznej wiadomości mapy zagrożenia powodziowego (MZP) i mapy ryzyka powodziowego (MRP). MZP i MRP są dostępne na </w:t>
            </w:r>
            <w:proofErr w:type="spellStart"/>
            <w:r w:rsidRPr="00991396">
              <w:rPr>
                <w:rFonts w:ascii="Titillium" w:eastAsia="Times New Roman" w:hAnsi="Titillium" w:cs="Times New Roman"/>
                <w:sz w:val="16"/>
                <w:szCs w:val="16"/>
              </w:rPr>
              <w:t>Hydroportalu</w:t>
            </w:r>
            <w:proofErr w:type="spellEnd"/>
            <w:r w:rsidRPr="00991396">
              <w:rPr>
                <w:rFonts w:ascii="Titillium" w:eastAsia="Times New Roman" w:hAnsi="Titillium" w:cs="Times New Roman"/>
                <w:sz w:val="16"/>
                <w:szCs w:val="16"/>
              </w:rPr>
              <w:t xml:space="preserve"> Państwowego Gospodarstwa Wodnego Wody Polskie pod adresem </w:t>
            </w:r>
          </w:p>
          <w:p w14:paraId="15787A2B" w14:textId="0D78309E" w:rsidR="002C5935" w:rsidRPr="005E408A" w:rsidRDefault="002C5935" w:rsidP="00794ED2">
            <w:pPr>
              <w:ind w:left="4"/>
              <w:jc w:val="both"/>
              <w:rPr>
                <w:rFonts w:ascii="Titillium" w:hAnsi="Titillium"/>
                <w:color w:val="FF0000"/>
                <w:sz w:val="16"/>
                <w:szCs w:val="16"/>
              </w:rPr>
            </w:pPr>
            <w:hyperlink r:id="rId15" w:history="1">
              <w:r w:rsidRPr="00991396">
                <w:rPr>
                  <w:rStyle w:val="Hipercze"/>
                  <w:rFonts w:ascii="Titillium" w:hAnsi="Titillium"/>
                  <w:color w:val="auto"/>
                  <w:sz w:val="16"/>
                  <w:szCs w:val="16"/>
                </w:rPr>
                <w:t>https://www.isok.gov.pl/hydroportal.html</w:t>
              </w:r>
            </w:hyperlink>
            <w:r w:rsidRPr="00991396">
              <w:rPr>
                <w:rFonts w:ascii="Titillium" w:hAnsi="Titillium"/>
                <w:sz w:val="16"/>
                <w:szCs w:val="16"/>
              </w:rPr>
              <w:t xml:space="preserve"> </w:t>
            </w:r>
          </w:p>
        </w:tc>
      </w:tr>
      <w:tr w:rsidR="002C5935" w:rsidRPr="003357EB" w14:paraId="25A92411" w14:textId="77777777" w:rsidTr="00794ED2">
        <w:tblPrEx>
          <w:tblCellMar>
            <w:top w:w="59" w:type="dxa"/>
          </w:tblCellMar>
        </w:tblPrEx>
        <w:trPr>
          <w:gridAfter w:val="1"/>
          <w:wAfter w:w="5650" w:type="dxa"/>
          <w:trHeight w:val="506"/>
        </w:trPr>
        <w:tc>
          <w:tcPr>
            <w:tcW w:w="2830" w:type="dxa"/>
            <w:vMerge/>
            <w:tcBorders>
              <w:left w:val="single" w:sz="4" w:space="0" w:color="000000"/>
              <w:right w:val="single" w:sz="4" w:space="0" w:color="000000"/>
            </w:tcBorders>
          </w:tcPr>
          <w:p w14:paraId="1CE4C37B" w14:textId="77777777" w:rsidR="002C5935" w:rsidRPr="003357EB" w:rsidRDefault="002C5935" w:rsidP="00794ED2">
            <w:pPr>
              <w:rPr>
                <w:rFonts w:ascii="Titillium" w:hAnsi="Titillium"/>
                <w:sz w:val="16"/>
                <w:szCs w:val="16"/>
              </w:rPr>
            </w:pP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0F2BFD82" w14:textId="77777777" w:rsidR="002C5935" w:rsidRPr="00D63FC3" w:rsidRDefault="002C5935" w:rsidP="00794ED2">
            <w:pPr>
              <w:ind w:left="2" w:right="53"/>
              <w:jc w:val="both"/>
              <w:rPr>
                <w:rFonts w:ascii="Titillium" w:hAnsi="Titillium"/>
                <w:sz w:val="16"/>
                <w:szCs w:val="16"/>
              </w:rPr>
            </w:pPr>
            <w:r w:rsidRPr="00D63FC3">
              <w:rPr>
                <w:rFonts w:ascii="Titillium" w:eastAsia="Times New Roman" w:hAnsi="Titillium" w:cs="Times New Roman"/>
                <w:sz w:val="16"/>
                <w:szCs w:val="16"/>
              </w:rPr>
              <w:t xml:space="preserve">Ustalenia decyzji w zakresie rozmieszczenia inwestycji celu publicznego, mogące mieć znaczenie dla terenu objętego przedsięwzięciem deweloperskim lub zadaniem inwestycyjnym: </w:t>
            </w:r>
          </w:p>
        </w:tc>
      </w:tr>
      <w:tr w:rsidR="002C5935" w:rsidRPr="003357EB" w14:paraId="5E14E489" w14:textId="77777777" w:rsidTr="00794ED2">
        <w:tblPrEx>
          <w:tblCellMar>
            <w:top w:w="59" w:type="dxa"/>
          </w:tblCellMar>
        </w:tblPrEx>
        <w:trPr>
          <w:gridAfter w:val="1"/>
          <w:wAfter w:w="5650" w:type="dxa"/>
          <w:trHeight w:val="486"/>
        </w:trPr>
        <w:tc>
          <w:tcPr>
            <w:tcW w:w="2830" w:type="dxa"/>
            <w:vMerge/>
            <w:tcBorders>
              <w:left w:val="single" w:sz="4" w:space="0" w:color="000000"/>
              <w:right w:val="single" w:sz="4" w:space="0" w:color="000000"/>
            </w:tcBorders>
          </w:tcPr>
          <w:p w14:paraId="64D970B9" w14:textId="77777777" w:rsidR="002C5935" w:rsidRPr="003357EB" w:rsidRDefault="002C5935"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4C64D2A" w14:textId="77777777" w:rsidR="002C5935" w:rsidRPr="003357EB" w:rsidRDefault="002C5935" w:rsidP="00794ED2">
            <w:pPr>
              <w:ind w:left="2"/>
              <w:jc w:val="both"/>
              <w:rPr>
                <w:rFonts w:ascii="Titillium" w:hAnsi="Titillium"/>
                <w:sz w:val="16"/>
                <w:szCs w:val="16"/>
              </w:rPr>
            </w:pPr>
            <w:r w:rsidRPr="003357EB">
              <w:rPr>
                <w:rFonts w:ascii="Titillium" w:eastAsia="Times New Roman" w:hAnsi="Titillium" w:cs="Times New Roman"/>
                <w:sz w:val="16"/>
                <w:szCs w:val="16"/>
              </w:rPr>
              <w:t xml:space="preserve">decyzja o zezwoleniu na realizację inwestycji drogowej </w:t>
            </w:r>
          </w:p>
        </w:tc>
        <w:tc>
          <w:tcPr>
            <w:tcW w:w="4819" w:type="dxa"/>
            <w:tcBorders>
              <w:top w:val="single" w:sz="4" w:space="0" w:color="000000"/>
              <w:left w:val="single" w:sz="4" w:space="0" w:color="000000"/>
              <w:bottom w:val="single" w:sz="4" w:space="0" w:color="000000"/>
              <w:right w:val="single" w:sz="4" w:space="0" w:color="000000"/>
            </w:tcBorders>
          </w:tcPr>
          <w:p w14:paraId="468B0392" w14:textId="172D038F" w:rsidR="002C5935" w:rsidRPr="005E408A" w:rsidRDefault="002C5935" w:rsidP="00794ED2">
            <w:pPr>
              <w:ind w:left="4"/>
              <w:rPr>
                <w:rFonts w:ascii="Titillium" w:hAnsi="Titillium"/>
                <w:color w:val="FF0000"/>
                <w:sz w:val="16"/>
                <w:szCs w:val="16"/>
              </w:rPr>
            </w:pPr>
            <w:r w:rsidRPr="005E408A">
              <w:rPr>
                <w:rFonts w:ascii="Titillium" w:eastAsia="Times New Roman" w:hAnsi="Titillium" w:cs="Times New Roman"/>
                <w:color w:val="FF0000"/>
                <w:sz w:val="16"/>
                <w:szCs w:val="16"/>
              </w:rPr>
              <w:t xml:space="preserve"> </w:t>
            </w:r>
            <w:r w:rsidRPr="00701C33">
              <w:rPr>
                <w:rFonts w:ascii="Titillium" w:eastAsia="Times New Roman" w:hAnsi="Titillium" w:cs="Times New Roman"/>
                <w:sz w:val="16"/>
                <w:szCs w:val="16"/>
              </w:rPr>
              <w:t xml:space="preserve">- zgodnie z pismem Podlaskiego Urzędu Wojewódzkiego w Białymstoku z dnia </w:t>
            </w:r>
            <w:r w:rsidR="00F93ECA" w:rsidRPr="00701C33">
              <w:rPr>
                <w:rFonts w:ascii="Titillium" w:eastAsia="Times New Roman" w:hAnsi="Titillium" w:cs="Times New Roman"/>
                <w:sz w:val="16"/>
                <w:szCs w:val="16"/>
              </w:rPr>
              <w:t>26</w:t>
            </w:r>
            <w:r w:rsidRPr="00701C33">
              <w:rPr>
                <w:rFonts w:ascii="Titillium" w:eastAsia="Times New Roman" w:hAnsi="Titillium" w:cs="Times New Roman"/>
                <w:sz w:val="16"/>
                <w:szCs w:val="16"/>
              </w:rPr>
              <w:t>.0</w:t>
            </w:r>
            <w:r w:rsidR="00701C33" w:rsidRPr="00701C33">
              <w:rPr>
                <w:rFonts w:ascii="Titillium" w:eastAsia="Times New Roman" w:hAnsi="Titillium" w:cs="Times New Roman"/>
                <w:sz w:val="16"/>
                <w:szCs w:val="16"/>
              </w:rPr>
              <w:t>2</w:t>
            </w:r>
            <w:r w:rsidRPr="00701C33">
              <w:rPr>
                <w:rFonts w:ascii="Titillium" w:eastAsia="Times New Roman" w:hAnsi="Titillium" w:cs="Times New Roman"/>
                <w:sz w:val="16"/>
                <w:szCs w:val="16"/>
              </w:rPr>
              <w:t>.202</w:t>
            </w:r>
            <w:r w:rsidR="00701C33" w:rsidRPr="00701C33">
              <w:rPr>
                <w:rFonts w:ascii="Titillium" w:eastAsia="Times New Roman" w:hAnsi="Titillium" w:cs="Times New Roman"/>
                <w:sz w:val="16"/>
                <w:szCs w:val="16"/>
              </w:rPr>
              <w:t>5</w:t>
            </w:r>
            <w:r w:rsidRPr="00701C33">
              <w:rPr>
                <w:rFonts w:ascii="Titillium" w:eastAsia="Times New Roman" w:hAnsi="Titillium" w:cs="Times New Roman"/>
                <w:sz w:val="16"/>
                <w:szCs w:val="16"/>
              </w:rPr>
              <w:t xml:space="preserve"> r.</w:t>
            </w:r>
          </w:p>
        </w:tc>
      </w:tr>
      <w:tr w:rsidR="002C5935" w:rsidRPr="003357EB" w14:paraId="06D6A946" w14:textId="77777777" w:rsidTr="00794ED2">
        <w:tblPrEx>
          <w:tblCellMar>
            <w:top w:w="59" w:type="dxa"/>
          </w:tblCellMar>
        </w:tblPrEx>
        <w:trPr>
          <w:gridAfter w:val="1"/>
          <w:wAfter w:w="5650" w:type="dxa"/>
          <w:trHeight w:val="509"/>
        </w:trPr>
        <w:tc>
          <w:tcPr>
            <w:tcW w:w="2830" w:type="dxa"/>
            <w:vMerge/>
            <w:tcBorders>
              <w:left w:val="single" w:sz="4" w:space="0" w:color="000000"/>
              <w:right w:val="single" w:sz="4" w:space="0" w:color="000000"/>
            </w:tcBorders>
          </w:tcPr>
          <w:p w14:paraId="62903635" w14:textId="77777777" w:rsidR="002C5935" w:rsidRPr="003357EB" w:rsidRDefault="002C5935"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17C724F" w14:textId="77777777" w:rsidR="002C5935" w:rsidRPr="003357EB" w:rsidRDefault="002C5935" w:rsidP="00794ED2">
            <w:pPr>
              <w:ind w:left="2"/>
              <w:rPr>
                <w:rFonts w:ascii="Titillium" w:hAnsi="Titillium"/>
                <w:sz w:val="16"/>
                <w:szCs w:val="16"/>
              </w:rPr>
            </w:pPr>
            <w:r w:rsidRPr="003357EB">
              <w:rPr>
                <w:rFonts w:ascii="Titillium" w:eastAsia="Times New Roman" w:hAnsi="Titillium" w:cs="Times New Roman"/>
                <w:sz w:val="16"/>
                <w:szCs w:val="16"/>
              </w:rPr>
              <w:t xml:space="preserve">decyzja o ustaleniu lokalizacji linii kolejowej </w:t>
            </w:r>
          </w:p>
        </w:tc>
        <w:tc>
          <w:tcPr>
            <w:tcW w:w="4819" w:type="dxa"/>
            <w:tcBorders>
              <w:top w:val="single" w:sz="4" w:space="0" w:color="000000"/>
              <w:left w:val="single" w:sz="4" w:space="0" w:color="000000"/>
              <w:bottom w:val="single" w:sz="4" w:space="0" w:color="000000"/>
              <w:right w:val="single" w:sz="4" w:space="0" w:color="000000"/>
            </w:tcBorders>
          </w:tcPr>
          <w:p w14:paraId="2E3A1F7C" w14:textId="5767F0D7" w:rsidR="002C5935" w:rsidRPr="005E408A" w:rsidRDefault="00701C33" w:rsidP="00794ED2">
            <w:pPr>
              <w:ind w:left="4"/>
              <w:rPr>
                <w:rFonts w:ascii="Titillium" w:hAnsi="Titillium"/>
                <w:color w:val="FF0000"/>
                <w:sz w:val="16"/>
                <w:szCs w:val="16"/>
              </w:rPr>
            </w:pPr>
            <w:r w:rsidRPr="00701C33">
              <w:rPr>
                <w:rFonts w:ascii="Titillium" w:eastAsia="Times New Roman" w:hAnsi="Titillium" w:cs="Times New Roman"/>
                <w:sz w:val="16"/>
                <w:szCs w:val="16"/>
              </w:rPr>
              <w:t>- zgodnie z pismem Podlaskiego Urzędu Wojewódzkiego w Białymstoku z dnia 26.02.2025</w:t>
            </w:r>
          </w:p>
        </w:tc>
      </w:tr>
      <w:tr w:rsidR="002C5935" w:rsidRPr="003357EB" w14:paraId="12D2DE55" w14:textId="77777777" w:rsidTr="00794ED2">
        <w:tblPrEx>
          <w:tblCellMar>
            <w:top w:w="59" w:type="dxa"/>
          </w:tblCellMar>
        </w:tblPrEx>
        <w:trPr>
          <w:gridAfter w:val="1"/>
          <w:wAfter w:w="5650" w:type="dxa"/>
          <w:trHeight w:val="630"/>
        </w:trPr>
        <w:tc>
          <w:tcPr>
            <w:tcW w:w="2830" w:type="dxa"/>
            <w:vMerge/>
            <w:tcBorders>
              <w:left w:val="single" w:sz="4" w:space="0" w:color="000000"/>
              <w:right w:val="single" w:sz="4" w:space="0" w:color="000000"/>
            </w:tcBorders>
          </w:tcPr>
          <w:p w14:paraId="74289202" w14:textId="77777777" w:rsidR="002C5935" w:rsidRPr="003357EB" w:rsidRDefault="002C5935"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3763DAD" w14:textId="77777777" w:rsidR="002C5935" w:rsidRPr="003357EB" w:rsidRDefault="002C5935" w:rsidP="00794ED2">
            <w:pPr>
              <w:ind w:left="2" w:right="51"/>
              <w:jc w:val="both"/>
              <w:rPr>
                <w:rFonts w:ascii="Titillium" w:hAnsi="Titillium"/>
                <w:sz w:val="16"/>
                <w:szCs w:val="16"/>
              </w:rPr>
            </w:pPr>
            <w:r w:rsidRPr="003357EB">
              <w:rPr>
                <w:rFonts w:ascii="Titillium" w:eastAsia="Times New Roman" w:hAnsi="Titillium" w:cs="Times New Roman"/>
                <w:sz w:val="16"/>
                <w:szCs w:val="16"/>
              </w:rPr>
              <w:t xml:space="preserve">decyzja o zezwoleniu na realizację inwestycji w zakresie lotniska użytku publicznego </w:t>
            </w:r>
          </w:p>
        </w:tc>
        <w:tc>
          <w:tcPr>
            <w:tcW w:w="4819" w:type="dxa"/>
            <w:tcBorders>
              <w:top w:val="single" w:sz="4" w:space="0" w:color="000000"/>
              <w:left w:val="single" w:sz="4" w:space="0" w:color="000000"/>
              <w:bottom w:val="single" w:sz="4" w:space="0" w:color="000000"/>
              <w:right w:val="single" w:sz="4" w:space="0" w:color="000000"/>
            </w:tcBorders>
          </w:tcPr>
          <w:p w14:paraId="7A2905DD" w14:textId="08E324A0" w:rsidR="002C5935" w:rsidRPr="005E408A" w:rsidRDefault="00701C33" w:rsidP="00794ED2">
            <w:pPr>
              <w:ind w:left="4"/>
              <w:rPr>
                <w:rFonts w:ascii="Titillium" w:hAnsi="Titillium"/>
                <w:color w:val="FF0000"/>
                <w:sz w:val="16"/>
                <w:szCs w:val="16"/>
              </w:rPr>
            </w:pPr>
            <w:r w:rsidRPr="00701C33">
              <w:rPr>
                <w:rFonts w:ascii="Titillium" w:eastAsia="Times New Roman" w:hAnsi="Titillium" w:cs="Times New Roman"/>
                <w:sz w:val="16"/>
                <w:szCs w:val="16"/>
              </w:rPr>
              <w:t>- zgodnie z pismem Podlaskiego Urzędu Wojewódzkiego w Białymstoku z dnia 26.02.2025 r.</w:t>
            </w:r>
          </w:p>
        </w:tc>
      </w:tr>
      <w:tr w:rsidR="002C5935" w:rsidRPr="003357EB" w14:paraId="5BBD17A7" w14:textId="77777777" w:rsidTr="00794ED2">
        <w:tblPrEx>
          <w:tblCellMar>
            <w:top w:w="59" w:type="dxa"/>
          </w:tblCellMar>
        </w:tblPrEx>
        <w:trPr>
          <w:gridAfter w:val="1"/>
          <w:wAfter w:w="5650" w:type="dxa"/>
          <w:trHeight w:val="613"/>
        </w:trPr>
        <w:tc>
          <w:tcPr>
            <w:tcW w:w="2830" w:type="dxa"/>
            <w:vMerge/>
            <w:tcBorders>
              <w:left w:val="single" w:sz="4" w:space="0" w:color="000000"/>
              <w:right w:val="single" w:sz="4" w:space="0" w:color="000000"/>
            </w:tcBorders>
          </w:tcPr>
          <w:p w14:paraId="3EA81DD9" w14:textId="77777777" w:rsidR="002C5935" w:rsidRPr="003357EB" w:rsidRDefault="002C5935"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28DE5CC" w14:textId="77777777" w:rsidR="002C5935" w:rsidRPr="003357EB" w:rsidRDefault="002C5935" w:rsidP="00794ED2">
            <w:pPr>
              <w:ind w:left="2" w:right="51"/>
              <w:jc w:val="both"/>
              <w:rPr>
                <w:rFonts w:ascii="Titillium" w:hAnsi="Titillium"/>
                <w:sz w:val="16"/>
                <w:szCs w:val="16"/>
              </w:rPr>
            </w:pPr>
            <w:r w:rsidRPr="003357EB">
              <w:rPr>
                <w:rFonts w:ascii="Titillium" w:eastAsia="Times New Roman" w:hAnsi="Titillium" w:cs="Times New Roman"/>
                <w:sz w:val="16"/>
                <w:szCs w:val="16"/>
              </w:rPr>
              <w:t xml:space="preserve">decyzja o pozwoleniu na realizację inwestycji w zakresie budowli przeciwpowodziowych </w:t>
            </w:r>
          </w:p>
        </w:tc>
        <w:tc>
          <w:tcPr>
            <w:tcW w:w="4819" w:type="dxa"/>
            <w:tcBorders>
              <w:top w:val="single" w:sz="4" w:space="0" w:color="000000"/>
              <w:left w:val="single" w:sz="4" w:space="0" w:color="000000"/>
              <w:bottom w:val="single" w:sz="4" w:space="0" w:color="000000"/>
              <w:right w:val="single" w:sz="4" w:space="0" w:color="000000"/>
            </w:tcBorders>
          </w:tcPr>
          <w:p w14:paraId="28B5A664" w14:textId="740120BB" w:rsidR="002C5935" w:rsidRPr="005E408A" w:rsidRDefault="00701C33" w:rsidP="00794ED2">
            <w:pPr>
              <w:ind w:left="4"/>
              <w:rPr>
                <w:rFonts w:ascii="Titillium" w:hAnsi="Titillium"/>
                <w:color w:val="FF0000"/>
                <w:sz w:val="16"/>
                <w:szCs w:val="16"/>
              </w:rPr>
            </w:pPr>
            <w:r w:rsidRPr="00701C33">
              <w:rPr>
                <w:rFonts w:ascii="Titillium" w:eastAsia="Times New Roman" w:hAnsi="Titillium" w:cs="Times New Roman"/>
                <w:sz w:val="16"/>
                <w:szCs w:val="16"/>
              </w:rPr>
              <w:t>- zgodnie z pismem Podlaskiego Urzędu Wojewódzkiego w Białymstoku z dnia 26.02.2025 r.</w:t>
            </w:r>
          </w:p>
        </w:tc>
      </w:tr>
      <w:tr w:rsidR="002C5935" w:rsidRPr="003357EB" w14:paraId="79B2469B" w14:textId="77777777" w:rsidTr="00794ED2">
        <w:tblPrEx>
          <w:tblCellMar>
            <w:top w:w="167" w:type="dxa"/>
          </w:tblCellMar>
        </w:tblPrEx>
        <w:trPr>
          <w:gridAfter w:val="1"/>
          <w:wAfter w:w="5650" w:type="dxa"/>
          <w:trHeight w:val="487"/>
        </w:trPr>
        <w:tc>
          <w:tcPr>
            <w:tcW w:w="2830" w:type="dxa"/>
            <w:vMerge/>
            <w:tcBorders>
              <w:left w:val="single" w:sz="4" w:space="0" w:color="000000"/>
              <w:right w:val="single" w:sz="4" w:space="0" w:color="000000"/>
            </w:tcBorders>
            <w:shd w:val="clear" w:color="auto" w:fill="F3F3F3"/>
          </w:tcPr>
          <w:p w14:paraId="642F9DE5" w14:textId="77777777" w:rsidR="002C5935" w:rsidRPr="003357EB" w:rsidRDefault="002C5935"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1C93695" w14:textId="77777777" w:rsidR="002C5935" w:rsidRPr="003357EB" w:rsidRDefault="002C5935" w:rsidP="00794ED2">
            <w:pPr>
              <w:ind w:left="2" w:right="50"/>
              <w:jc w:val="both"/>
              <w:rPr>
                <w:rFonts w:ascii="Titillium" w:hAnsi="Titillium"/>
                <w:sz w:val="16"/>
                <w:szCs w:val="16"/>
              </w:rPr>
            </w:pPr>
            <w:r w:rsidRPr="003357EB">
              <w:rPr>
                <w:rFonts w:ascii="Titillium" w:eastAsia="Times New Roman" w:hAnsi="Titillium" w:cs="Times New Roman"/>
                <w:sz w:val="16"/>
                <w:szCs w:val="16"/>
              </w:rPr>
              <w:t xml:space="preserve">decyzja o ustaleniu lokalizacji inwestycji w zakresie budowy obiektu energetyki jądrowej </w:t>
            </w:r>
          </w:p>
        </w:tc>
        <w:tc>
          <w:tcPr>
            <w:tcW w:w="4819" w:type="dxa"/>
            <w:tcBorders>
              <w:top w:val="single" w:sz="4" w:space="0" w:color="000000"/>
              <w:left w:val="single" w:sz="4" w:space="0" w:color="000000"/>
              <w:bottom w:val="single" w:sz="4" w:space="0" w:color="000000"/>
              <w:right w:val="single" w:sz="4" w:space="0" w:color="000000"/>
            </w:tcBorders>
          </w:tcPr>
          <w:p w14:paraId="6F3FB291" w14:textId="587968CE" w:rsidR="002C5935" w:rsidRPr="005E408A" w:rsidRDefault="00701C33" w:rsidP="00794ED2">
            <w:pPr>
              <w:ind w:left="4"/>
              <w:rPr>
                <w:rFonts w:ascii="Titillium" w:hAnsi="Titillium"/>
                <w:color w:val="FF0000"/>
                <w:sz w:val="16"/>
                <w:szCs w:val="16"/>
              </w:rPr>
            </w:pPr>
            <w:r w:rsidRPr="00701C33">
              <w:rPr>
                <w:rFonts w:ascii="Titillium" w:eastAsia="Times New Roman" w:hAnsi="Titillium" w:cs="Times New Roman"/>
                <w:sz w:val="16"/>
                <w:szCs w:val="16"/>
              </w:rPr>
              <w:t>- zgodnie z pismem Podlaskiego Urzędu Wojewódzkiego w Białymstoku z dnia 26.02.2025 r.</w:t>
            </w:r>
          </w:p>
        </w:tc>
      </w:tr>
      <w:tr w:rsidR="002C5935" w:rsidRPr="003357EB" w14:paraId="61EE0A68" w14:textId="77777777" w:rsidTr="00794ED2">
        <w:tblPrEx>
          <w:tblCellMar>
            <w:top w:w="167" w:type="dxa"/>
          </w:tblCellMar>
        </w:tblPrEx>
        <w:trPr>
          <w:gridAfter w:val="1"/>
          <w:wAfter w:w="5650" w:type="dxa"/>
          <w:trHeight w:val="370"/>
        </w:trPr>
        <w:tc>
          <w:tcPr>
            <w:tcW w:w="2830" w:type="dxa"/>
            <w:vMerge/>
            <w:tcBorders>
              <w:left w:val="single" w:sz="4" w:space="0" w:color="000000"/>
              <w:right w:val="single" w:sz="4" w:space="0" w:color="000000"/>
            </w:tcBorders>
          </w:tcPr>
          <w:p w14:paraId="474B91BC" w14:textId="77777777" w:rsidR="002C5935" w:rsidRPr="003357EB" w:rsidRDefault="002C5935"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922A2A7" w14:textId="77777777" w:rsidR="002C5935" w:rsidRPr="003357EB" w:rsidRDefault="002C5935" w:rsidP="00794ED2">
            <w:pPr>
              <w:ind w:left="2" w:right="45"/>
              <w:jc w:val="both"/>
              <w:rPr>
                <w:rFonts w:ascii="Titillium" w:hAnsi="Titillium"/>
                <w:sz w:val="16"/>
                <w:szCs w:val="16"/>
              </w:rPr>
            </w:pPr>
            <w:r w:rsidRPr="003357EB">
              <w:rPr>
                <w:rFonts w:ascii="Titillium" w:eastAsia="Times New Roman" w:hAnsi="Titillium" w:cs="Times New Roman"/>
                <w:sz w:val="16"/>
                <w:szCs w:val="16"/>
              </w:rPr>
              <w:t xml:space="preserve">decyzja o ustaleniu lokalizacji strategicznej inwestycji w zakresie sieci przesyłowej </w:t>
            </w:r>
          </w:p>
        </w:tc>
        <w:tc>
          <w:tcPr>
            <w:tcW w:w="4819" w:type="dxa"/>
            <w:tcBorders>
              <w:top w:val="single" w:sz="4" w:space="0" w:color="000000"/>
              <w:left w:val="single" w:sz="4" w:space="0" w:color="000000"/>
              <w:bottom w:val="single" w:sz="4" w:space="0" w:color="000000"/>
              <w:right w:val="single" w:sz="4" w:space="0" w:color="000000"/>
            </w:tcBorders>
          </w:tcPr>
          <w:p w14:paraId="00C6B3D8" w14:textId="2CD72BF4" w:rsidR="002C5935" w:rsidRPr="005E408A" w:rsidRDefault="00701C33" w:rsidP="00794ED2">
            <w:pPr>
              <w:ind w:left="4"/>
              <w:rPr>
                <w:rFonts w:ascii="Titillium" w:hAnsi="Titillium"/>
                <w:color w:val="FF0000"/>
                <w:sz w:val="16"/>
                <w:szCs w:val="16"/>
              </w:rPr>
            </w:pPr>
            <w:r w:rsidRPr="00701C33">
              <w:rPr>
                <w:rFonts w:ascii="Titillium" w:eastAsia="Times New Roman" w:hAnsi="Titillium" w:cs="Times New Roman"/>
                <w:sz w:val="16"/>
                <w:szCs w:val="16"/>
              </w:rPr>
              <w:t>- zgodnie z pismem Podlaskiego Urzędu Wojewódzkiego w Białymstoku z dnia 26.02.2025 r.</w:t>
            </w:r>
          </w:p>
        </w:tc>
      </w:tr>
      <w:tr w:rsidR="002C5935" w:rsidRPr="003357EB" w14:paraId="09321DF5" w14:textId="77777777" w:rsidTr="00794ED2">
        <w:tblPrEx>
          <w:tblCellMar>
            <w:top w:w="167" w:type="dxa"/>
          </w:tblCellMar>
        </w:tblPrEx>
        <w:trPr>
          <w:gridAfter w:val="1"/>
          <w:wAfter w:w="5650" w:type="dxa"/>
          <w:trHeight w:val="383"/>
        </w:trPr>
        <w:tc>
          <w:tcPr>
            <w:tcW w:w="2830" w:type="dxa"/>
            <w:vMerge/>
            <w:tcBorders>
              <w:left w:val="single" w:sz="4" w:space="0" w:color="000000"/>
              <w:bottom w:val="nil"/>
              <w:right w:val="single" w:sz="4" w:space="0" w:color="000000"/>
            </w:tcBorders>
          </w:tcPr>
          <w:p w14:paraId="041226AE" w14:textId="77777777" w:rsidR="002C5935" w:rsidRPr="003357EB" w:rsidRDefault="002C5935"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762998F" w14:textId="77777777" w:rsidR="002C5935" w:rsidRPr="003357EB" w:rsidRDefault="002C5935" w:rsidP="00794ED2">
            <w:pPr>
              <w:ind w:left="2"/>
              <w:jc w:val="both"/>
              <w:rPr>
                <w:rFonts w:ascii="Titillium" w:hAnsi="Titillium"/>
                <w:sz w:val="16"/>
                <w:szCs w:val="16"/>
              </w:rPr>
            </w:pPr>
            <w:r w:rsidRPr="003357EB">
              <w:rPr>
                <w:rFonts w:ascii="Titillium" w:eastAsia="Times New Roman" w:hAnsi="Titillium" w:cs="Times New Roman"/>
                <w:sz w:val="16"/>
                <w:szCs w:val="16"/>
              </w:rPr>
              <w:t xml:space="preserve">decyzja o ustaleniu lokalizacji regionalnej sieci szerokopasmowej </w:t>
            </w:r>
          </w:p>
        </w:tc>
        <w:tc>
          <w:tcPr>
            <w:tcW w:w="4819" w:type="dxa"/>
            <w:tcBorders>
              <w:top w:val="single" w:sz="4" w:space="0" w:color="000000"/>
              <w:left w:val="single" w:sz="4" w:space="0" w:color="000000"/>
              <w:bottom w:val="single" w:sz="4" w:space="0" w:color="000000"/>
              <w:right w:val="single" w:sz="4" w:space="0" w:color="000000"/>
            </w:tcBorders>
          </w:tcPr>
          <w:p w14:paraId="2CA9CD34" w14:textId="766A6642" w:rsidR="002C5935" w:rsidRPr="005E408A" w:rsidRDefault="00701C33" w:rsidP="00794ED2">
            <w:pPr>
              <w:ind w:left="4"/>
              <w:rPr>
                <w:rFonts w:ascii="Titillium" w:hAnsi="Titillium"/>
                <w:color w:val="FF0000"/>
                <w:sz w:val="16"/>
                <w:szCs w:val="16"/>
              </w:rPr>
            </w:pPr>
            <w:r w:rsidRPr="00701C33">
              <w:rPr>
                <w:rFonts w:ascii="Titillium" w:eastAsia="Times New Roman" w:hAnsi="Titillium" w:cs="Times New Roman"/>
                <w:sz w:val="16"/>
                <w:szCs w:val="16"/>
              </w:rPr>
              <w:t>- zgodnie z pismem Podlaskiego Urzędu Wojewódzkiego w Białymstoku z dnia 26.02.2025 r.</w:t>
            </w:r>
          </w:p>
        </w:tc>
      </w:tr>
      <w:tr w:rsidR="00794ED2" w:rsidRPr="003357EB" w14:paraId="7CF75778" w14:textId="77777777" w:rsidTr="00794ED2">
        <w:tblPrEx>
          <w:tblCellMar>
            <w:top w:w="167" w:type="dxa"/>
          </w:tblCellMar>
        </w:tblPrEx>
        <w:trPr>
          <w:gridAfter w:val="1"/>
          <w:wAfter w:w="5650" w:type="dxa"/>
          <w:trHeight w:val="532"/>
        </w:trPr>
        <w:tc>
          <w:tcPr>
            <w:tcW w:w="2830" w:type="dxa"/>
            <w:vMerge w:val="restart"/>
            <w:tcBorders>
              <w:top w:val="nil"/>
              <w:left w:val="single" w:sz="4" w:space="0" w:color="000000"/>
              <w:bottom w:val="single" w:sz="4" w:space="0" w:color="000000"/>
              <w:right w:val="single" w:sz="4" w:space="0" w:color="000000"/>
            </w:tcBorders>
            <w:shd w:val="clear" w:color="auto" w:fill="F3F3F3"/>
          </w:tcPr>
          <w:p w14:paraId="62B40037" w14:textId="77777777" w:rsidR="00095A92" w:rsidRPr="003357EB" w:rsidRDefault="00095A92"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E79315F" w14:textId="77777777" w:rsidR="00095A92" w:rsidRPr="003357EB" w:rsidRDefault="00095A92" w:rsidP="00794ED2">
            <w:pPr>
              <w:ind w:left="2" w:right="47"/>
              <w:jc w:val="both"/>
              <w:rPr>
                <w:rFonts w:ascii="Titillium" w:hAnsi="Titillium"/>
                <w:sz w:val="16"/>
                <w:szCs w:val="16"/>
              </w:rPr>
            </w:pPr>
            <w:r w:rsidRPr="003357EB">
              <w:rPr>
                <w:rFonts w:ascii="Titillium" w:eastAsia="Times New Roman" w:hAnsi="Titillium" w:cs="Times New Roman"/>
                <w:sz w:val="16"/>
                <w:szCs w:val="16"/>
              </w:rPr>
              <w:t xml:space="preserve">decyzja o ustaleniu lokalizacji inwestycji w zakresie Centralnego Portu Komunikacyjnego  </w:t>
            </w:r>
          </w:p>
        </w:tc>
        <w:tc>
          <w:tcPr>
            <w:tcW w:w="4819" w:type="dxa"/>
            <w:tcBorders>
              <w:top w:val="single" w:sz="4" w:space="0" w:color="000000"/>
              <w:left w:val="single" w:sz="4" w:space="0" w:color="000000"/>
              <w:bottom w:val="single" w:sz="4" w:space="0" w:color="000000"/>
              <w:right w:val="single" w:sz="4" w:space="0" w:color="000000"/>
            </w:tcBorders>
          </w:tcPr>
          <w:p w14:paraId="7A67D8DC" w14:textId="779651BB" w:rsidR="00095A92" w:rsidRPr="005E408A" w:rsidRDefault="00701C33" w:rsidP="00794ED2">
            <w:pPr>
              <w:ind w:left="4"/>
              <w:rPr>
                <w:rFonts w:ascii="Titillium" w:hAnsi="Titillium"/>
                <w:color w:val="FF0000"/>
                <w:sz w:val="16"/>
                <w:szCs w:val="16"/>
              </w:rPr>
            </w:pPr>
            <w:r w:rsidRPr="00701C33">
              <w:rPr>
                <w:rFonts w:ascii="Titillium" w:eastAsia="Times New Roman" w:hAnsi="Titillium" w:cs="Times New Roman"/>
                <w:sz w:val="16"/>
                <w:szCs w:val="16"/>
              </w:rPr>
              <w:t>- zgodnie z pismem Podlaskiego Urzędu Wojewódzkiego w Białymstoku z dnia 26.02.2025 r.</w:t>
            </w:r>
          </w:p>
        </w:tc>
      </w:tr>
      <w:tr w:rsidR="00794ED2" w:rsidRPr="003357EB" w14:paraId="389DFAB8" w14:textId="77777777" w:rsidTr="00794ED2">
        <w:tblPrEx>
          <w:tblCellMar>
            <w:top w:w="167" w:type="dxa"/>
          </w:tblCellMar>
        </w:tblPrEx>
        <w:trPr>
          <w:gridAfter w:val="1"/>
          <w:wAfter w:w="5650" w:type="dxa"/>
          <w:trHeight w:val="502"/>
        </w:trPr>
        <w:tc>
          <w:tcPr>
            <w:tcW w:w="2830" w:type="dxa"/>
            <w:vMerge/>
            <w:tcBorders>
              <w:top w:val="nil"/>
              <w:left w:val="single" w:sz="4" w:space="0" w:color="000000"/>
              <w:bottom w:val="nil"/>
              <w:right w:val="single" w:sz="4" w:space="0" w:color="000000"/>
            </w:tcBorders>
          </w:tcPr>
          <w:p w14:paraId="37E397FF" w14:textId="77777777" w:rsidR="00095A92" w:rsidRPr="003357EB" w:rsidRDefault="00095A92"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14ADFCA" w14:textId="77777777" w:rsidR="00095A92" w:rsidRPr="003357EB" w:rsidRDefault="00095A92" w:rsidP="00794ED2">
            <w:pPr>
              <w:ind w:left="2"/>
              <w:rPr>
                <w:rFonts w:ascii="Titillium" w:hAnsi="Titillium"/>
                <w:sz w:val="16"/>
                <w:szCs w:val="16"/>
              </w:rPr>
            </w:pPr>
            <w:r w:rsidRPr="003357EB">
              <w:rPr>
                <w:rFonts w:ascii="Titillium" w:eastAsia="Times New Roman" w:hAnsi="Titillium" w:cs="Times New Roman"/>
                <w:sz w:val="16"/>
                <w:szCs w:val="16"/>
              </w:rPr>
              <w:t xml:space="preserve">decyzja o zezwoleniu na realizację inwestycji w zakresie infrastruktury dostępowej </w:t>
            </w:r>
          </w:p>
        </w:tc>
        <w:tc>
          <w:tcPr>
            <w:tcW w:w="4819" w:type="dxa"/>
            <w:tcBorders>
              <w:top w:val="single" w:sz="4" w:space="0" w:color="000000"/>
              <w:left w:val="single" w:sz="4" w:space="0" w:color="000000"/>
              <w:bottom w:val="single" w:sz="4" w:space="0" w:color="000000"/>
              <w:right w:val="single" w:sz="4" w:space="0" w:color="000000"/>
            </w:tcBorders>
          </w:tcPr>
          <w:p w14:paraId="20780D2B" w14:textId="5B9EEF42" w:rsidR="00095A92" w:rsidRPr="005E408A" w:rsidRDefault="00701C33" w:rsidP="00794ED2">
            <w:pPr>
              <w:ind w:left="4"/>
              <w:rPr>
                <w:rFonts w:ascii="Titillium" w:hAnsi="Titillium"/>
                <w:color w:val="FF0000"/>
                <w:sz w:val="16"/>
                <w:szCs w:val="16"/>
              </w:rPr>
            </w:pPr>
            <w:r w:rsidRPr="00701C33">
              <w:rPr>
                <w:rFonts w:ascii="Titillium" w:eastAsia="Times New Roman" w:hAnsi="Titillium" w:cs="Times New Roman"/>
                <w:sz w:val="16"/>
                <w:szCs w:val="16"/>
              </w:rPr>
              <w:t>- zgodnie z pismem Podlaskiego Urzędu Wojewódzkiego w Białymstoku z dnia 26.02.2025 r.</w:t>
            </w:r>
          </w:p>
        </w:tc>
      </w:tr>
      <w:tr w:rsidR="00794ED2" w:rsidRPr="003357EB" w14:paraId="69340F10" w14:textId="77777777" w:rsidTr="00794ED2">
        <w:tblPrEx>
          <w:tblCellMar>
            <w:top w:w="167" w:type="dxa"/>
          </w:tblCellMar>
        </w:tblPrEx>
        <w:trPr>
          <w:gridAfter w:val="1"/>
          <w:wAfter w:w="5650" w:type="dxa"/>
          <w:trHeight w:val="675"/>
        </w:trPr>
        <w:tc>
          <w:tcPr>
            <w:tcW w:w="2830" w:type="dxa"/>
            <w:vMerge/>
            <w:tcBorders>
              <w:top w:val="nil"/>
              <w:left w:val="single" w:sz="4" w:space="0" w:color="000000"/>
              <w:bottom w:val="single" w:sz="4" w:space="0" w:color="000000"/>
              <w:right w:val="single" w:sz="4" w:space="0" w:color="000000"/>
            </w:tcBorders>
          </w:tcPr>
          <w:p w14:paraId="1FA8455B" w14:textId="77777777" w:rsidR="00095A92" w:rsidRPr="003357EB" w:rsidRDefault="00095A92"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57965BD" w14:textId="77777777" w:rsidR="00095A92" w:rsidRPr="003357EB" w:rsidRDefault="00095A92" w:rsidP="00794ED2">
            <w:pPr>
              <w:ind w:left="2" w:right="45"/>
              <w:jc w:val="both"/>
              <w:rPr>
                <w:rFonts w:ascii="Titillium" w:hAnsi="Titillium"/>
                <w:sz w:val="16"/>
                <w:szCs w:val="16"/>
              </w:rPr>
            </w:pPr>
            <w:r w:rsidRPr="003357EB">
              <w:rPr>
                <w:rFonts w:ascii="Titillium" w:eastAsia="Times New Roman" w:hAnsi="Titillium" w:cs="Times New Roman"/>
                <w:sz w:val="16"/>
                <w:szCs w:val="16"/>
              </w:rPr>
              <w:t xml:space="preserve">decyzja o ustaleniu lokalizacji strategicznej inwestycji w sektorze naftowym </w:t>
            </w:r>
          </w:p>
        </w:tc>
        <w:tc>
          <w:tcPr>
            <w:tcW w:w="4819" w:type="dxa"/>
            <w:tcBorders>
              <w:top w:val="single" w:sz="4" w:space="0" w:color="000000"/>
              <w:left w:val="single" w:sz="4" w:space="0" w:color="000000"/>
              <w:bottom w:val="single" w:sz="4" w:space="0" w:color="000000"/>
              <w:right w:val="single" w:sz="4" w:space="0" w:color="000000"/>
            </w:tcBorders>
          </w:tcPr>
          <w:p w14:paraId="6D40C78B" w14:textId="695A97DD" w:rsidR="00095A92" w:rsidRPr="005E408A" w:rsidRDefault="00701C33" w:rsidP="00794ED2">
            <w:pPr>
              <w:ind w:left="4"/>
              <w:rPr>
                <w:rFonts w:ascii="Titillium" w:hAnsi="Titillium"/>
                <w:color w:val="FF0000"/>
                <w:sz w:val="16"/>
                <w:szCs w:val="16"/>
              </w:rPr>
            </w:pPr>
            <w:r w:rsidRPr="00701C33">
              <w:rPr>
                <w:rFonts w:ascii="Titillium" w:eastAsia="Times New Roman" w:hAnsi="Titillium" w:cs="Times New Roman"/>
                <w:sz w:val="16"/>
                <w:szCs w:val="16"/>
              </w:rPr>
              <w:t>- zgodnie z pismem Podlaskiego Urzędu Wojewódzkiego w Białymstoku z dnia 26.02.2025 r.</w:t>
            </w:r>
          </w:p>
        </w:tc>
      </w:tr>
      <w:tr w:rsidR="00A129E9" w14:paraId="1E04F87C" w14:textId="77777777" w:rsidTr="00794ED2">
        <w:tblPrEx>
          <w:tblCellMar>
            <w:top w:w="0" w:type="dxa"/>
            <w:left w:w="0" w:type="dxa"/>
            <w:right w:w="0" w:type="dxa"/>
          </w:tblCellMar>
        </w:tblPrEx>
        <w:trPr>
          <w:gridAfter w:val="1"/>
          <w:wAfter w:w="5650" w:type="dxa"/>
        </w:trPr>
        <w:tc>
          <w:tcPr>
            <w:tcW w:w="9634" w:type="dxa"/>
            <w:gridSpan w:val="3"/>
          </w:tcPr>
          <w:p w14:paraId="498F6AE7" w14:textId="77777777" w:rsidR="00A129E9" w:rsidRPr="00F71FE5" w:rsidRDefault="00A129E9" w:rsidP="00794ED2">
            <w:pPr>
              <w:rPr>
                <w:rFonts w:ascii="Titillium" w:hAnsi="Titillium" w:cs="Arial"/>
                <w:sz w:val="12"/>
                <w:szCs w:val="12"/>
              </w:rPr>
            </w:pPr>
          </w:p>
        </w:tc>
      </w:tr>
      <w:tr w:rsidR="00A129E9" w14:paraId="09AC2336" w14:textId="77777777" w:rsidTr="00794ED2">
        <w:tblPrEx>
          <w:tblCellMar>
            <w:top w:w="0" w:type="dxa"/>
            <w:left w:w="0" w:type="dxa"/>
            <w:right w:w="0" w:type="dxa"/>
          </w:tblCellMar>
        </w:tblPrEx>
        <w:trPr>
          <w:gridAfter w:val="1"/>
          <w:wAfter w:w="5650" w:type="dxa"/>
        </w:trPr>
        <w:tc>
          <w:tcPr>
            <w:tcW w:w="9634" w:type="dxa"/>
            <w:gridSpan w:val="3"/>
          </w:tcPr>
          <w:p w14:paraId="20E198B5" w14:textId="7FD1EB6D" w:rsidR="00A129E9" w:rsidRPr="00F71FE5" w:rsidRDefault="00F71FE5" w:rsidP="00794ED2">
            <w:pPr>
              <w:rPr>
                <w:rFonts w:ascii="Titillium" w:hAnsi="Titillium" w:cs="Arial"/>
                <w:sz w:val="12"/>
                <w:szCs w:val="12"/>
              </w:rPr>
            </w:pPr>
            <w:r>
              <w:rPr>
                <w:rFonts w:ascii="Titillium" w:hAnsi="Titillium" w:cs="Arial"/>
                <w:sz w:val="12"/>
                <w:szCs w:val="12"/>
              </w:rPr>
              <w:t>6.</w:t>
            </w:r>
            <w:r w:rsidRPr="00F71FE5">
              <w:rPr>
                <w:rFonts w:ascii="Titillium" w:hAnsi="Titillium" w:cs="Arial"/>
                <w:sz w:val="12"/>
                <w:szCs w:val="12"/>
              </w:rPr>
              <w:t>Wskazane inwestycje dotyczą w szczególności budowy lub rozbudowy dróg, budowy linii szynowych oraz przewidzianych korytarzy powietrznych, inwestycji komunalnych, takich jak: oczyszczalnie ścieków, spalarnie śmieci, wysypisk</w:t>
            </w:r>
            <w:r>
              <w:rPr>
                <w:rFonts w:ascii="Titillium" w:hAnsi="Titillium" w:cs="Arial"/>
                <w:sz w:val="12"/>
                <w:szCs w:val="12"/>
              </w:rPr>
              <w:t>a</w:t>
            </w:r>
            <w:r w:rsidRPr="00F71FE5">
              <w:rPr>
                <w:rFonts w:ascii="Titillium" w:hAnsi="Titillium" w:cs="Arial"/>
                <w:sz w:val="12"/>
                <w:szCs w:val="12"/>
              </w:rPr>
              <w:t>,</w:t>
            </w:r>
            <w:r>
              <w:rPr>
                <w:rFonts w:ascii="Titillium" w:hAnsi="Titillium" w:cs="Arial"/>
                <w:sz w:val="12"/>
                <w:szCs w:val="12"/>
              </w:rPr>
              <w:t xml:space="preserve"> </w:t>
            </w:r>
            <w:r w:rsidRPr="00F71FE5">
              <w:rPr>
                <w:rFonts w:ascii="Titillium" w:hAnsi="Titillium" w:cs="Arial"/>
                <w:sz w:val="12"/>
                <w:szCs w:val="12"/>
              </w:rPr>
              <w:t>cmentarze</w:t>
            </w:r>
            <w:r>
              <w:rPr>
                <w:rFonts w:ascii="Titillium" w:hAnsi="Titillium" w:cs="Arial"/>
                <w:sz w:val="12"/>
                <w:szCs w:val="12"/>
              </w:rPr>
              <w:t>.</w:t>
            </w:r>
            <w:r w:rsidRPr="00F71FE5">
              <w:rPr>
                <w:rFonts w:ascii="Titillium" w:hAnsi="Titillium" w:cs="Arial"/>
                <w:sz w:val="12"/>
                <w:szCs w:val="12"/>
              </w:rPr>
              <w:t>.</w:t>
            </w:r>
          </w:p>
        </w:tc>
      </w:tr>
      <w:tr w:rsidR="00B76267" w14:paraId="0ED2865C" w14:textId="77777777" w:rsidTr="00794ED2">
        <w:tblPrEx>
          <w:tblCellMar>
            <w:top w:w="0" w:type="dxa"/>
            <w:left w:w="0" w:type="dxa"/>
            <w:right w:w="0" w:type="dxa"/>
          </w:tblCellMar>
        </w:tblPrEx>
        <w:trPr>
          <w:gridAfter w:val="1"/>
          <w:wAfter w:w="5650" w:type="dxa"/>
        </w:trPr>
        <w:tc>
          <w:tcPr>
            <w:tcW w:w="9634" w:type="dxa"/>
            <w:gridSpan w:val="3"/>
          </w:tcPr>
          <w:p w14:paraId="462B8678" w14:textId="77777777" w:rsidR="00E44FF8" w:rsidRDefault="00E44FF8" w:rsidP="00794ED2">
            <w:pPr>
              <w:rPr>
                <w:rFonts w:ascii="Arial" w:hAnsi="Arial" w:cs="Arial"/>
                <w:sz w:val="16"/>
                <w:szCs w:val="16"/>
              </w:rPr>
            </w:pPr>
          </w:p>
        </w:tc>
      </w:tr>
      <w:tr w:rsidR="00A129E9" w14:paraId="2B36496D" w14:textId="77777777" w:rsidTr="00794ED2">
        <w:tblPrEx>
          <w:tblCellMar>
            <w:top w:w="0" w:type="dxa"/>
            <w:left w:w="0" w:type="dxa"/>
            <w:right w:w="0" w:type="dxa"/>
          </w:tblCellMar>
        </w:tblPrEx>
        <w:trPr>
          <w:gridAfter w:val="1"/>
          <w:wAfter w:w="5650" w:type="dxa"/>
        </w:trPr>
        <w:tc>
          <w:tcPr>
            <w:tcW w:w="9634" w:type="dxa"/>
            <w:gridSpan w:val="3"/>
          </w:tcPr>
          <w:p w14:paraId="78C7FCB3" w14:textId="77777777" w:rsidR="00A129E9" w:rsidRDefault="00A129E9" w:rsidP="00794ED2">
            <w:pPr>
              <w:rPr>
                <w:rFonts w:ascii="Arial" w:hAnsi="Arial" w:cs="Arial"/>
                <w:sz w:val="16"/>
                <w:szCs w:val="16"/>
              </w:rPr>
            </w:pPr>
          </w:p>
        </w:tc>
      </w:tr>
      <w:tr w:rsidR="00F61396" w:rsidRPr="00D31C8C" w14:paraId="5854C132" w14:textId="77777777" w:rsidTr="00794ED2">
        <w:tblPrEx>
          <w:tblCellMar>
            <w:top w:w="167" w:type="dxa"/>
          </w:tblCellMar>
        </w:tblPrEx>
        <w:trPr>
          <w:gridAfter w:val="1"/>
          <w:wAfter w:w="5650" w:type="dxa"/>
          <w:trHeight w:val="901"/>
        </w:trPr>
        <w:tc>
          <w:tcPr>
            <w:tcW w:w="4815" w:type="dxa"/>
            <w:gridSpan w:val="2"/>
            <w:tcBorders>
              <w:top w:val="single" w:sz="4" w:space="0" w:color="000000"/>
              <w:left w:val="single" w:sz="4" w:space="0" w:color="000000"/>
              <w:bottom w:val="single" w:sz="4" w:space="0" w:color="000000"/>
              <w:right w:val="nil"/>
            </w:tcBorders>
            <w:shd w:val="clear" w:color="auto" w:fill="D9D9D9"/>
            <w:vAlign w:val="center"/>
          </w:tcPr>
          <w:p w14:paraId="6C3F90B8" w14:textId="77777777" w:rsidR="00A73634" w:rsidRDefault="00A73634" w:rsidP="00794ED2">
            <w:pPr>
              <w:spacing w:after="118"/>
              <w:rPr>
                <w:rFonts w:ascii="Titillium" w:eastAsia="Times New Roman" w:hAnsi="Titillium" w:cs="Times New Roman"/>
                <w:b/>
                <w:sz w:val="16"/>
                <w:szCs w:val="16"/>
              </w:rPr>
            </w:pPr>
          </w:p>
          <w:p w14:paraId="0D32C47D" w14:textId="138B754D" w:rsidR="000617DA" w:rsidRPr="00D31C8C" w:rsidRDefault="002C5935" w:rsidP="00794ED2">
            <w:pPr>
              <w:spacing w:after="118"/>
              <w:rPr>
                <w:rFonts w:ascii="Titillium" w:hAnsi="Titillium"/>
                <w:sz w:val="16"/>
                <w:szCs w:val="16"/>
              </w:rPr>
            </w:pPr>
            <w:r>
              <w:rPr>
                <w:rFonts w:ascii="Titillium" w:eastAsia="Times New Roman" w:hAnsi="Titillium" w:cs="Times New Roman"/>
                <w:b/>
                <w:sz w:val="16"/>
                <w:szCs w:val="16"/>
              </w:rPr>
              <w:t>I</w:t>
            </w:r>
            <w:r w:rsidR="000617DA" w:rsidRPr="00D31C8C">
              <w:rPr>
                <w:rFonts w:ascii="Titillium" w:eastAsia="Times New Roman" w:hAnsi="Titillium" w:cs="Times New Roman"/>
                <w:b/>
                <w:sz w:val="16"/>
                <w:szCs w:val="16"/>
              </w:rPr>
              <w:t xml:space="preserve">NFORMACJE DOTYCZĄCE BUDYNKU </w:t>
            </w:r>
          </w:p>
          <w:p w14:paraId="6FA8A38F" w14:textId="77777777" w:rsidR="000617DA" w:rsidRPr="00D31C8C" w:rsidRDefault="000617DA" w:rsidP="00794ED2">
            <w:pPr>
              <w:rPr>
                <w:rFonts w:ascii="Titillium" w:hAnsi="Titillium"/>
                <w:sz w:val="16"/>
                <w:szCs w:val="16"/>
              </w:rPr>
            </w:pPr>
            <w:r w:rsidRPr="00D31C8C">
              <w:rPr>
                <w:rFonts w:ascii="Titillium" w:eastAsia="Times New Roman" w:hAnsi="Titillium" w:cs="Times New Roman"/>
                <w:sz w:val="16"/>
                <w:szCs w:val="16"/>
              </w:rPr>
              <w:t xml:space="preserve"> </w:t>
            </w:r>
          </w:p>
        </w:tc>
        <w:tc>
          <w:tcPr>
            <w:tcW w:w="4819" w:type="dxa"/>
            <w:tcBorders>
              <w:top w:val="single" w:sz="4" w:space="0" w:color="000000"/>
              <w:left w:val="nil"/>
              <w:bottom w:val="single" w:sz="4" w:space="0" w:color="000000"/>
              <w:right w:val="single" w:sz="4" w:space="0" w:color="000000"/>
            </w:tcBorders>
            <w:shd w:val="clear" w:color="auto" w:fill="D9D9D9"/>
          </w:tcPr>
          <w:p w14:paraId="33978EF9" w14:textId="77777777" w:rsidR="000617DA" w:rsidRPr="00D31C8C" w:rsidRDefault="000617DA" w:rsidP="00794ED2">
            <w:pPr>
              <w:rPr>
                <w:rFonts w:ascii="Titillium" w:hAnsi="Titillium"/>
                <w:sz w:val="16"/>
                <w:szCs w:val="16"/>
              </w:rPr>
            </w:pPr>
          </w:p>
        </w:tc>
      </w:tr>
      <w:tr w:rsidR="00794ED2" w:rsidRPr="00D31C8C" w14:paraId="457CEE51" w14:textId="77777777" w:rsidTr="00794ED2">
        <w:tblPrEx>
          <w:tblCellMar>
            <w:top w:w="167" w:type="dxa"/>
          </w:tblCellMar>
        </w:tblPrEx>
        <w:trPr>
          <w:gridAfter w:val="1"/>
          <w:wAfter w:w="5650" w:type="dxa"/>
          <w:trHeight w:val="578"/>
        </w:trPr>
        <w:tc>
          <w:tcPr>
            <w:tcW w:w="283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8473BB" w14:textId="77777777" w:rsidR="000617DA" w:rsidRPr="00D31C8C" w:rsidRDefault="000617DA" w:rsidP="00794ED2">
            <w:pPr>
              <w:spacing w:after="125"/>
              <w:rPr>
                <w:rFonts w:ascii="Titillium" w:hAnsi="Titillium"/>
                <w:sz w:val="16"/>
                <w:szCs w:val="16"/>
              </w:rPr>
            </w:pPr>
            <w:r w:rsidRPr="00D31C8C">
              <w:rPr>
                <w:rFonts w:ascii="Titillium" w:eastAsia="Times New Roman" w:hAnsi="Titillium" w:cs="Times New Roman"/>
                <w:sz w:val="16"/>
                <w:szCs w:val="16"/>
              </w:rPr>
              <w:t xml:space="preserve">Czy jest pozwolenie na budowę </w:t>
            </w:r>
          </w:p>
          <w:p w14:paraId="62589B3B" w14:textId="77777777" w:rsidR="000617DA" w:rsidRPr="00D31C8C" w:rsidRDefault="000617DA" w:rsidP="00794ED2">
            <w:pPr>
              <w:rPr>
                <w:rFonts w:ascii="Titillium" w:hAnsi="Titillium"/>
                <w:sz w:val="16"/>
                <w:szCs w:val="16"/>
              </w:rPr>
            </w:pPr>
            <w:r w:rsidRPr="00D31C8C">
              <w:rPr>
                <w:rFonts w:ascii="Titillium" w:eastAsia="Times New Roman" w:hAnsi="Titillium" w:cs="Times New Roman"/>
                <w:sz w:val="16"/>
                <w:szCs w:val="16"/>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C481F84" w14:textId="4B4A70D0" w:rsidR="000617DA" w:rsidRPr="00F63F41" w:rsidRDefault="002C4568" w:rsidP="00794ED2">
            <w:pPr>
              <w:ind w:right="46"/>
              <w:jc w:val="center"/>
              <w:rPr>
                <w:rFonts w:ascii="Titillium" w:hAnsi="Titillium"/>
                <w:sz w:val="16"/>
                <w:szCs w:val="16"/>
              </w:rPr>
            </w:pPr>
            <w:r w:rsidRPr="00F63F41">
              <w:rPr>
                <w:rFonts w:ascii="Titillium" w:eastAsia="Times New Roman" w:hAnsi="Titillium" w:cs="Times New Roman"/>
                <w:sz w:val="16"/>
                <w:szCs w:val="16"/>
              </w:rPr>
              <w:t>tak*</w:t>
            </w:r>
          </w:p>
        </w:tc>
        <w:tc>
          <w:tcPr>
            <w:tcW w:w="4819" w:type="dxa"/>
            <w:tcBorders>
              <w:top w:val="single" w:sz="4" w:space="0" w:color="000000"/>
              <w:left w:val="single" w:sz="4" w:space="0" w:color="000000"/>
              <w:bottom w:val="single" w:sz="4" w:space="0" w:color="000000"/>
              <w:right w:val="single" w:sz="4" w:space="0" w:color="000000"/>
            </w:tcBorders>
            <w:vAlign w:val="center"/>
          </w:tcPr>
          <w:p w14:paraId="75EDF92B" w14:textId="77777777" w:rsidR="000617DA" w:rsidRPr="00F63F41" w:rsidRDefault="000617DA" w:rsidP="00794ED2">
            <w:pPr>
              <w:ind w:right="40"/>
              <w:jc w:val="center"/>
              <w:rPr>
                <w:rFonts w:ascii="Titillium" w:hAnsi="Titillium"/>
                <w:sz w:val="16"/>
                <w:szCs w:val="16"/>
              </w:rPr>
            </w:pPr>
            <w:r w:rsidRPr="00F63F41">
              <w:rPr>
                <w:rFonts w:ascii="Titillium" w:eastAsia="Times New Roman" w:hAnsi="Titillium" w:cs="Times New Roman"/>
                <w:strike/>
                <w:sz w:val="16"/>
                <w:szCs w:val="16"/>
              </w:rPr>
              <w:t>nie</w:t>
            </w:r>
            <w:r w:rsidRPr="00F63F41">
              <w:rPr>
                <w:rFonts w:ascii="Titillium" w:eastAsia="Times New Roman" w:hAnsi="Titillium" w:cs="Times New Roman"/>
                <w:sz w:val="16"/>
                <w:szCs w:val="16"/>
              </w:rPr>
              <w:t xml:space="preserve">* </w:t>
            </w:r>
          </w:p>
        </w:tc>
      </w:tr>
      <w:tr w:rsidR="00794ED2" w:rsidRPr="00D31C8C" w14:paraId="422C1710" w14:textId="77777777" w:rsidTr="00794ED2">
        <w:tblPrEx>
          <w:tblCellMar>
            <w:top w:w="167" w:type="dxa"/>
          </w:tblCellMar>
        </w:tblPrEx>
        <w:trPr>
          <w:gridAfter w:val="1"/>
          <w:wAfter w:w="5650" w:type="dxa"/>
          <w:trHeight w:val="560"/>
        </w:trPr>
        <w:tc>
          <w:tcPr>
            <w:tcW w:w="283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CF7177" w14:textId="77777777" w:rsidR="000617DA" w:rsidRPr="00D31C8C" w:rsidRDefault="000617DA" w:rsidP="00794ED2">
            <w:pPr>
              <w:rPr>
                <w:rFonts w:ascii="Titillium" w:hAnsi="Titillium"/>
                <w:sz w:val="16"/>
                <w:szCs w:val="16"/>
              </w:rPr>
            </w:pPr>
            <w:r w:rsidRPr="00D31C8C">
              <w:rPr>
                <w:rFonts w:ascii="Titillium" w:eastAsia="Times New Roman" w:hAnsi="Titillium" w:cs="Times New Roman"/>
                <w:sz w:val="16"/>
                <w:szCs w:val="16"/>
              </w:rPr>
              <w:t xml:space="preserve">Czy pozwolenie na budowę jest ostateczne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540CC7C" w14:textId="77777777" w:rsidR="000617DA" w:rsidRPr="00F63F41" w:rsidRDefault="000617DA" w:rsidP="00794ED2">
            <w:pPr>
              <w:ind w:right="44"/>
              <w:jc w:val="center"/>
              <w:rPr>
                <w:rFonts w:ascii="Titillium" w:hAnsi="Titillium"/>
                <w:sz w:val="16"/>
                <w:szCs w:val="16"/>
              </w:rPr>
            </w:pPr>
            <w:r w:rsidRPr="00F63F41">
              <w:rPr>
                <w:rFonts w:ascii="Titillium" w:eastAsia="Times New Roman" w:hAnsi="Titillium" w:cs="Times New Roman"/>
                <w:sz w:val="16"/>
                <w:szCs w:val="16"/>
              </w:rPr>
              <w:t xml:space="preserve">tak* </w:t>
            </w:r>
          </w:p>
        </w:tc>
        <w:tc>
          <w:tcPr>
            <w:tcW w:w="4819" w:type="dxa"/>
            <w:tcBorders>
              <w:top w:val="single" w:sz="4" w:space="0" w:color="000000"/>
              <w:left w:val="single" w:sz="4" w:space="0" w:color="000000"/>
              <w:bottom w:val="single" w:sz="4" w:space="0" w:color="000000"/>
              <w:right w:val="single" w:sz="4" w:space="0" w:color="000000"/>
            </w:tcBorders>
            <w:vAlign w:val="center"/>
          </w:tcPr>
          <w:p w14:paraId="21F153E4" w14:textId="77777777" w:rsidR="000617DA" w:rsidRPr="00F63F41" w:rsidRDefault="000617DA" w:rsidP="00794ED2">
            <w:pPr>
              <w:ind w:right="40"/>
              <w:jc w:val="center"/>
              <w:rPr>
                <w:rFonts w:ascii="Titillium" w:hAnsi="Titillium"/>
                <w:sz w:val="16"/>
                <w:szCs w:val="16"/>
              </w:rPr>
            </w:pPr>
            <w:r w:rsidRPr="00F63F41">
              <w:rPr>
                <w:rFonts w:ascii="Titillium" w:eastAsia="Times New Roman" w:hAnsi="Titillium" w:cs="Times New Roman"/>
                <w:strike/>
                <w:sz w:val="16"/>
                <w:szCs w:val="16"/>
              </w:rPr>
              <w:t>nie</w:t>
            </w:r>
            <w:r w:rsidRPr="00F63F41">
              <w:rPr>
                <w:rFonts w:ascii="Titillium" w:eastAsia="Times New Roman" w:hAnsi="Titillium" w:cs="Times New Roman"/>
                <w:sz w:val="16"/>
                <w:szCs w:val="16"/>
              </w:rPr>
              <w:t xml:space="preserve">* </w:t>
            </w:r>
          </w:p>
        </w:tc>
      </w:tr>
      <w:tr w:rsidR="00794ED2" w:rsidRPr="00D31C8C" w14:paraId="200E67D5" w14:textId="77777777" w:rsidTr="00794ED2">
        <w:tblPrEx>
          <w:tblCellMar>
            <w:top w:w="167" w:type="dxa"/>
          </w:tblCellMar>
        </w:tblPrEx>
        <w:trPr>
          <w:gridAfter w:val="1"/>
          <w:wAfter w:w="5650" w:type="dxa"/>
          <w:trHeight w:val="671"/>
        </w:trPr>
        <w:tc>
          <w:tcPr>
            <w:tcW w:w="283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7D945C" w14:textId="77777777" w:rsidR="000617DA" w:rsidRPr="00D31C8C" w:rsidRDefault="000617DA" w:rsidP="00794ED2">
            <w:pPr>
              <w:rPr>
                <w:rFonts w:ascii="Titillium" w:hAnsi="Titillium"/>
                <w:sz w:val="16"/>
                <w:szCs w:val="16"/>
              </w:rPr>
            </w:pPr>
            <w:r w:rsidRPr="00D31C8C">
              <w:rPr>
                <w:rFonts w:ascii="Titillium" w:eastAsia="Times New Roman" w:hAnsi="Titillium" w:cs="Times New Roman"/>
                <w:sz w:val="16"/>
                <w:szCs w:val="16"/>
              </w:rPr>
              <w:t xml:space="preserve">Czy pozwolenie na budowę jest zaskarżone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CB15534" w14:textId="77777777" w:rsidR="000617DA" w:rsidRPr="00F63F41" w:rsidRDefault="000617DA" w:rsidP="00794ED2">
            <w:pPr>
              <w:ind w:right="44"/>
              <w:jc w:val="center"/>
              <w:rPr>
                <w:rFonts w:ascii="Titillium" w:hAnsi="Titillium"/>
                <w:sz w:val="16"/>
                <w:szCs w:val="16"/>
              </w:rPr>
            </w:pPr>
            <w:r w:rsidRPr="00F63F41">
              <w:rPr>
                <w:rFonts w:ascii="Titillium" w:eastAsia="Times New Roman" w:hAnsi="Titillium" w:cs="Times New Roman"/>
                <w:strike/>
                <w:sz w:val="16"/>
                <w:szCs w:val="16"/>
              </w:rPr>
              <w:t>tak</w:t>
            </w:r>
            <w:r w:rsidRPr="00F63F41">
              <w:rPr>
                <w:rFonts w:ascii="Titillium" w:eastAsia="Times New Roman" w:hAnsi="Titillium" w:cs="Times New Roman"/>
                <w:sz w:val="16"/>
                <w:szCs w:val="16"/>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14:paraId="1A1E862F" w14:textId="77777777" w:rsidR="000617DA" w:rsidRPr="00F63F41" w:rsidRDefault="000617DA" w:rsidP="00794ED2">
            <w:pPr>
              <w:ind w:right="40"/>
              <w:jc w:val="center"/>
              <w:rPr>
                <w:rFonts w:ascii="Titillium" w:hAnsi="Titillium"/>
                <w:sz w:val="16"/>
                <w:szCs w:val="16"/>
              </w:rPr>
            </w:pPr>
            <w:r w:rsidRPr="00F63F41">
              <w:rPr>
                <w:rFonts w:ascii="Titillium" w:eastAsia="Times New Roman" w:hAnsi="Titillium" w:cs="Times New Roman"/>
                <w:sz w:val="16"/>
                <w:szCs w:val="16"/>
              </w:rPr>
              <w:t xml:space="preserve">nie* </w:t>
            </w:r>
          </w:p>
        </w:tc>
      </w:tr>
      <w:tr w:rsidR="00F61396" w:rsidRPr="00D31C8C" w14:paraId="0852A891" w14:textId="77777777" w:rsidTr="00794ED2">
        <w:tblPrEx>
          <w:tblCellMar>
            <w:top w:w="167" w:type="dxa"/>
          </w:tblCellMar>
        </w:tblPrEx>
        <w:trPr>
          <w:gridAfter w:val="1"/>
          <w:wAfter w:w="5650" w:type="dxa"/>
          <w:cantSplit/>
          <w:trHeight w:val="692"/>
        </w:trPr>
        <w:tc>
          <w:tcPr>
            <w:tcW w:w="283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B2170A" w14:textId="77777777" w:rsidR="000617DA" w:rsidRPr="00D31C8C" w:rsidRDefault="000617DA" w:rsidP="00794ED2">
            <w:pPr>
              <w:rPr>
                <w:rFonts w:ascii="Titillium" w:hAnsi="Titillium"/>
                <w:sz w:val="16"/>
                <w:szCs w:val="16"/>
              </w:rPr>
            </w:pPr>
            <w:r w:rsidRPr="00D31C8C">
              <w:rPr>
                <w:rFonts w:ascii="Titillium" w:eastAsia="Times New Roman" w:hAnsi="Titillium" w:cs="Times New Roman"/>
                <w:sz w:val="16"/>
                <w:szCs w:val="16"/>
              </w:rPr>
              <w:t xml:space="preserve">Numer pozwolenia na budowę oraz nazwa organu, który je wydał </w:t>
            </w:r>
          </w:p>
        </w:tc>
        <w:tc>
          <w:tcPr>
            <w:tcW w:w="6804" w:type="dxa"/>
            <w:gridSpan w:val="2"/>
            <w:tcBorders>
              <w:top w:val="single" w:sz="4" w:space="0" w:color="000000"/>
              <w:left w:val="single" w:sz="4" w:space="0" w:color="000000"/>
              <w:bottom w:val="single" w:sz="4" w:space="0" w:color="000000"/>
              <w:right w:val="single" w:sz="4" w:space="0" w:color="000000"/>
            </w:tcBorders>
          </w:tcPr>
          <w:p w14:paraId="4E5B7951" w14:textId="70328920" w:rsidR="005E408A" w:rsidRPr="00F63F41" w:rsidRDefault="005E408A" w:rsidP="005E408A">
            <w:pPr>
              <w:rPr>
                <w:rFonts w:ascii="Titillium" w:eastAsia="Times New Roman" w:hAnsi="Titillium" w:cs="Times New Roman"/>
                <w:b/>
                <w:bCs/>
                <w:sz w:val="16"/>
                <w:szCs w:val="16"/>
              </w:rPr>
            </w:pPr>
            <w:r w:rsidRPr="00F63F41">
              <w:rPr>
                <w:rFonts w:ascii="Titillium" w:eastAsia="Times New Roman" w:hAnsi="Titillium" w:cs="Times New Roman"/>
                <w:b/>
                <w:bCs/>
                <w:sz w:val="16"/>
                <w:szCs w:val="16"/>
              </w:rPr>
              <w:t>DUA-X</w:t>
            </w:r>
            <w:r w:rsidR="00F63F41" w:rsidRPr="00F63F41">
              <w:rPr>
                <w:rFonts w:ascii="Titillium" w:eastAsia="Times New Roman" w:hAnsi="Titillium" w:cs="Times New Roman"/>
                <w:b/>
                <w:bCs/>
                <w:sz w:val="16"/>
                <w:szCs w:val="16"/>
              </w:rPr>
              <w:t>III</w:t>
            </w:r>
            <w:r w:rsidRPr="00F63F41">
              <w:rPr>
                <w:rFonts w:ascii="Titillium" w:eastAsia="Times New Roman" w:hAnsi="Titillium" w:cs="Times New Roman"/>
                <w:b/>
                <w:bCs/>
                <w:sz w:val="16"/>
                <w:szCs w:val="16"/>
              </w:rPr>
              <w:t>.6740.</w:t>
            </w:r>
            <w:r w:rsidR="00F63F41" w:rsidRPr="00F63F41">
              <w:rPr>
                <w:rFonts w:ascii="Titillium" w:eastAsia="Times New Roman" w:hAnsi="Titillium" w:cs="Times New Roman"/>
                <w:b/>
                <w:bCs/>
                <w:sz w:val="16"/>
                <w:szCs w:val="16"/>
              </w:rPr>
              <w:t>130</w:t>
            </w:r>
            <w:r w:rsidRPr="00F63F41">
              <w:rPr>
                <w:rFonts w:ascii="Titillium" w:eastAsia="Times New Roman" w:hAnsi="Titillium" w:cs="Times New Roman"/>
                <w:b/>
                <w:bCs/>
                <w:sz w:val="16"/>
                <w:szCs w:val="16"/>
              </w:rPr>
              <w:t>.202</w:t>
            </w:r>
            <w:r w:rsidR="00F63F41" w:rsidRPr="00F63F41">
              <w:rPr>
                <w:rFonts w:ascii="Titillium" w:eastAsia="Times New Roman" w:hAnsi="Titillium" w:cs="Times New Roman"/>
                <w:b/>
                <w:bCs/>
                <w:sz w:val="16"/>
                <w:szCs w:val="16"/>
              </w:rPr>
              <w:t>4</w:t>
            </w:r>
            <w:r w:rsidRPr="00F63F41">
              <w:rPr>
                <w:rFonts w:ascii="Titillium" w:eastAsia="Times New Roman" w:hAnsi="Titillium" w:cs="Times New Roman"/>
                <w:b/>
                <w:bCs/>
                <w:sz w:val="16"/>
                <w:szCs w:val="16"/>
              </w:rPr>
              <w:t xml:space="preserve"> z dnia </w:t>
            </w:r>
            <w:r w:rsidR="00F63F41" w:rsidRPr="00F63F41">
              <w:rPr>
                <w:rFonts w:ascii="Titillium" w:eastAsia="Times New Roman" w:hAnsi="Titillium" w:cs="Times New Roman"/>
                <w:b/>
                <w:bCs/>
                <w:sz w:val="16"/>
                <w:szCs w:val="16"/>
              </w:rPr>
              <w:t>16</w:t>
            </w:r>
            <w:r w:rsidRPr="00F63F41">
              <w:rPr>
                <w:rFonts w:ascii="Titillium" w:eastAsia="Times New Roman" w:hAnsi="Titillium" w:cs="Times New Roman"/>
                <w:b/>
                <w:bCs/>
                <w:sz w:val="16"/>
                <w:szCs w:val="16"/>
              </w:rPr>
              <w:t xml:space="preserve"> </w:t>
            </w:r>
            <w:r w:rsidR="00F63F41" w:rsidRPr="00F63F41">
              <w:rPr>
                <w:rFonts w:ascii="Titillium" w:eastAsia="Times New Roman" w:hAnsi="Titillium" w:cs="Times New Roman"/>
                <w:b/>
                <w:bCs/>
                <w:sz w:val="16"/>
                <w:szCs w:val="16"/>
              </w:rPr>
              <w:t>sierpnia</w:t>
            </w:r>
            <w:r w:rsidRPr="00F63F41">
              <w:rPr>
                <w:rFonts w:ascii="Titillium" w:eastAsia="Times New Roman" w:hAnsi="Titillium" w:cs="Times New Roman"/>
                <w:b/>
                <w:bCs/>
                <w:sz w:val="16"/>
                <w:szCs w:val="16"/>
              </w:rPr>
              <w:t xml:space="preserve"> 2024r. </w:t>
            </w:r>
          </w:p>
          <w:p w14:paraId="7FB2C594" w14:textId="06A8E268" w:rsidR="007A69D4" w:rsidRPr="00B75ED4" w:rsidRDefault="005E408A" w:rsidP="005E408A">
            <w:pPr>
              <w:rPr>
                <w:rFonts w:ascii="Titillium" w:eastAsia="Times New Roman" w:hAnsi="Titillium" w:cs="Times New Roman"/>
                <w:b/>
                <w:bCs/>
                <w:sz w:val="16"/>
                <w:szCs w:val="16"/>
              </w:rPr>
            </w:pPr>
            <w:r w:rsidRPr="00B75ED4">
              <w:rPr>
                <w:rFonts w:ascii="Titillium" w:eastAsia="Times New Roman" w:hAnsi="Titillium" w:cs="Times New Roman"/>
                <w:b/>
                <w:bCs/>
                <w:sz w:val="16"/>
                <w:szCs w:val="16"/>
              </w:rPr>
              <w:t xml:space="preserve">Decyzja Nr </w:t>
            </w:r>
            <w:r w:rsidR="00F63F41" w:rsidRPr="00B75ED4">
              <w:rPr>
                <w:rFonts w:ascii="Titillium" w:eastAsia="Times New Roman" w:hAnsi="Titillium" w:cs="Times New Roman"/>
                <w:b/>
                <w:bCs/>
                <w:sz w:val="16"/>
                <w:szCs w:val="16"/>
              </w:rPr>
              <w:t>367</w:t>
            </w:r>
            <w:r w:rsidRPr="00B75ED4">
              <w:rPr>
                <w:rFonts w:ascii="Titillium" w:eastAsia="Times New Roman" w:hAnsi="Titillium" w:cs="Times New Roman"/>
                <w:b/>
                <w:bCs/>
                <w:sz w:val="16"/>
                <w:szCs w:val="16"/>
              </w:rPr>
              <w:t xml:space="preserve">/2024 wydana przez Prezydenta Miasta Białegostoku zatwierdzająca projekt zagospodarowania terenu oraz projekt </w:t>
            </w:r>
            <w:proofErr w:type="spellStart"/>
            <w:r w:rsidR="00C64D58" w:rsidRPr="00B75ED4">
              <w:rPr>
                <w:rFonts w:ascii="Titillium" w:eastAsia="Times New Roman" w:hAnsi="Titillium" w:cs="Times New Roman"/>
                <w:b/>
                <w:bCs/>
                <w:sz w:val="16"/>
                <w:szCs w:val="16"/>
              </w:rPr>
              <w:t>architektoniczno</w:t>
            </w:r>
            <w:proofErr w:type="spellEnd"/>
            <w:r w:rsidRPr="00B75ED4">
              <w:rPr>
                <w:rFonts w:ascii="Titillium" w:eastAsia="Times New Roman" w:hAnsi="Titillium" w:cs="Times New Roman"/>
                <w:b/>
                <w:bCs/>
                <w:sz w:val="16"/>
                <w:szCs w:val="16"/>
              </w:rPr>
              <w:t xml:space="preserve"> – budowlany i udzielająca pozwolenia na budowę</w:t>
            </w:r>
            <w:r w:rsidR="00B75ED4" w:rsidRPr="00B75ED4">
              <w:rPr>
                <w:rFonts w:ascii="Titillium" w:eastAsia="Times New Roman" w:hAnsi="Titillium" w:cs="Times New Roman"/>
                <w:b/>
                <w:bCs/>
                <w:sz w:val="16"/>
                <w:szCs w:val="16"/>
              </w:rPr>
              <w:t xml:space="preserve"> </w:t>
            </w:r>
            <w:r w:rsidR="00B75ED4" w:rsidRPr="00B75ED4">
              <w:rPr>
                <w:rFonts w:ascii="Titillium" w:hAnsi="Titillium"/>
                <w:b/>
                <w:bCs/>
                <w:color w:val="000000" w:themeColor="text1"/>
                <w:sz w:val="16"/>
                <w:szCs w:val="16"/>
              </w:rPr>
              <w:t>budynku mieszkalnego wielorodzinnego z lokalami usługowo-handlowymi, garażem na poziomie parteru i dwiema kondygnacjami garażu podziemnego wraz z instalacjami doziemnymi, murkami oporowymi i zagospodarowaniem terenu</w:t>
            </w:r>
            <w:r w:rsidR="00B75ED4" w:rsidRPr="00B75ED4">
              <w:rPr>
                <w:rFonts w:ascii="Titillium" w:hAnsi="Titillium"/>
                <w:b/>
                <w:bCs/>
                <w:color w:val="000000" w:themeColor="text1"/>
                <w:sz w:val="16"/>
                <w:szCs w:val="16"/>
              </w:rPr>
              <w:t>.</w:t>
            </w:r>
          </w:p>
        </w:tc>
      </w:tr>
      <w:tr w:rsidR="00794ED2" w:rsidRPr="00D31C8C" w14:paraId="13DC73EA" w14:textId="77777777" w:rsidTr="00794ED2">
        <w:tblPrEx>
          <w:tblCellMar>
            <w:top w:w="167" w:type="dxa"/>
          </w:tblCellMar>
        </w:tblPrEx>
        <w:trPr>
          <w:gridAfter w:val="1"/>
          <w:wAfter w:w="5650" w:type="dxa"/>
          <w:trHeight w:val="639"/>
        </w:trPr>
        <w:tc>
          <w:tcPr>
            <w:tcW w:w="283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19886F" w14:textId="77777777" w:rsidR="000617DA" w:rsidRPr="00D31C8C" w:rsidRDefault="000617DA" w:rsidP="00794ED2">
            <w:pPr>
              <w:rPr>
                <w:rFonts w:ascii="Titillium" w:hAnsi="Titillium"/>
                <w:sz w:val="16"/>
                <w:szCs w:val="16"/>
              </w:rPr>
            </w:pPr>
            <w:r w:rsidRPr="00D31C8C">
              <w:rPr>
                <w:rFonts w:ascii="Titillium" w:eastAsia="Times New Roman" w:hAnsi="Titillium" w:cs="Times New Roman"/>
                <w:sz w:val="16"/>
                <w:szCs w:val="16"/>
              </w:rPr>
              <w:t xml:space="preserve">Data uprawomocnienia się decyzji o pozwoleniu na użytkowanie budynku </w:t>
            </w:r>
          </w:p>
        </w:tc>
        <w:tc>
          <w:tcPr>
            <w:tcW w:w="1985" w:type="dxa"/>
            <w:tcBorders>
              <w:top w:val="single" w:sz="4" w:space="0" w:color="000000"/>
              <w:left w:val="single" w:sz="4" w:space="0" w:color="000000"/>
              <w:bottom w:val="single" w:sz="4" w:space="0" w:color="000000"/>
              <w:right w:val="nil"/>
            </w:tcBorders>
          </w:tcPr>
          <w:p w14:paraId="7C93E848" w14:textId="729BEBBA" w:rsidR="000617DA" w:rsidRPr="00D63FC3" w:rsidRDefault="000617DA" w:rsidP="00794ED2">
            <w:pPr>
              <w:ind w:left="2"/>
              <w:rPr>
                <w:rFonts w:ascii="Titillium" w:hAnsi="Titillium"/>
                <w:sz w:val="16"/>
                <w:szCs w:val="16"/>
              </w:rPr>
            </w:pPr>
            <w:r w:rsidRPr="00D63FC3">
              <w:rPr>
                <w:rFonts w:ascii="Titillium" w:eastAsia="Times New Roman" w:hAnsi="Titillium" w:cs="Times New Roman"/>
                <w:sz w:val="16"/>
                <w:szCs w:val="16"/>
              </w:rPr>
              <w:t xml:space="preserve"> nie dotyczy</w:t>
            </w:r>
          </w:p>
        </w:tc>
        <w:tc>
          <w:tcPr>
            <w:tcW w:w="4819" w:type="dxa"/>
            <w:tcBorders>
              <w:top w:val="single" w:sz="4" w:space="0" w:color="000000"/>
              <w:left w:val="nil"/>
              <w:bottom w:val="single" w:sz="4" w:space="0" w:color="000000"/>
              <w:right w:val="single" w:sz="4" w:space="0" w:color="000000"/>
            </w:tcBorders>
          </w:tcPr>
          <w:p w14:paraId="514309D1" w14:textId="77777777" w:rsidR="000617DA" w:rsidRPr="00D31C8C" w:rsidRDefault="000617DA" w:rsidP="00794ED2">
            <w:pPr>
              <w:rPr>
                <w:rFonts w:ascii="Titillium" w:hAnsi="Titillium"/>
                <w:sz w:val="16"/>
                <w:szCs w:val="16"/>
              </w:rPr>
            </w:pPr>
          </w:p>
        </w:tc>
      </w:tr>
      <w:tr w:rsidR="00794ED2" w:rsidRPr="00D31C8C" w14:paraId="2F34D1E0" w14:textId="77777777" w:rsidTr="00794ED2">
        <w:tblPrEx>
          <w:tblCellMar>
            <w:top w:w="167" w:type="dxa"/>
          </w:tblCellMar>
        </w:tblPrEx>
        <w:trPr>
          <w:gridAfter w:val="1"/>
          <w:wAfter w:w="5650" w:type="dxa"/>
          <w:trHeight w:val="674"/>
        </w:trPr>
        <w:tc>
          <w:tcPr>
            <w:tcW w:w="283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579B72" w14:textId="77777777" w:rsidR="000617DA" w:rsidRPr="00D31C8C" w:rsidRDefault="000617DA" w:rsidP="00794ED2">
            <w:pPr>
              <w:ind w:right="87"/>
              <w:jc w:val="both"/>
              <w:rPr>
                <w:rFonts w:ascii="Titillium" w:hAnsi="Titillium"/>
                <w:sz w:val="16"/>
                <w:szCs w:val="16"/>
              </w:rPr>
            </w:pPr>
            <w:r w:rsidRPr="00D31C8C">
              <w:rPr>
                <w:rFonts w:ascii="Titillium" w:eastAsia="Times New Roman" w:hAnsi="Titillium" w:cs="Times New Roman"/>
                <w:sz w:val="16"/>
                <w:szCs w:val="16"/>
              </w:rPr>
              <w:t xml:space="preserve">Numer zgłoszenia budowy, o której mowa w art. 29 ust. 1 pkt 1 ustawy z dnia 7 lipca 1994 r. </w:t>
            </w:r>
          </w:p>
          <w:p w14:paraId="3AF32A2C" w14:textId="77777777" w:rsidR="000617DA" w:rsidRPr="00D31C8C" w:rsidRDefault="000617DA" w:rsidP="00794ED2">
            <w:pPr>
              <w:rPr>
                <w:rFonts w:ascii="Titillium" w:hAnsi="Titillium"/>
                <w:sz w:val="16"/>
                <w:szCs w:val="16"/>
              </w:rPr>
            </w:pPr>
            <w:r w:rsidRPr="00D31C8C">
              <w:rPr>
                <w:rFonts w:ascii="Titillium" w:eastAsia="Times New Roman" w:hAnsi="Titillium" w:cs="Times New Roman"/>
                <w:sz w:val="16"/>
                <w:szCs w:val="16"/>
              </w:rPr>
              <w:t xml:space="preserve">– Prawo budowlane (Dz. U. </w:t>
            </w:r>
          </w:p>
          <w:p w14:paraId="1DA5B7F2" w14:textId="237461E8" w:rsidR="000617DA" w:rsidRPr="00D31C8C" w:rsidRDefault="000617DA" w:rsidP="00794ED2">
            <w:pPr>
              <w:ind w:right="121"/>
              <w:rPr>
                <w:rFonts w:ascii="Titillium" w:hAnsi="Titillium"/>
                <w:sz w:val="16"/>
                <w:szCs w:val="16"/>
              </w:rPr>
            </w:pPr>
            <w:r w:rsidRPr="00BC419D">
              <w:rPr>
                <w:rFonts w:ascii="Titillium" w:eastAsia="Times New Roman" w:hAnsi="Titillium" w:cs="Times New Roman"/>
                <w:sz w:val="16"/>
                <w:szCs w:val="16"/>
              </w:rPr>
              <w:t>z 202</w:t>
            </w:r>
            <w:r w:rsidR="002C5935" w:rsidRPr="00BC419D">
              <w:rPr>
                <w:rFonts w:ascii="Titillium" w:eastAsia="Times New Roman" w:hAnsi="Titillium" w:cs="Times New Roman"/>
                <w:sz w:val="16"/>
                <w:szCs w:val="16"/>
              </w:rPr>
              <w:t>3</w:t>
            </w:r>
            <w:r w:rsidRPr="00BC419D">
              <w:rPr>
                <w:rFonts w:ascii="Titillium" w:eastAsia="Times New Roman" w:hAnsi="Titillium" w:cs="Times New Roman"/>
                <w:sz w:val="16"/>
                <w:szCs w:val="16"/>
              </w:rPr>
              <w:t xml:space="preserve"> r. poz. </w:t>
            </w:r>
            <w:r w:rsidR="002C5935" w:rsidRPr="00BC419D">
              <w:rPr>
                <w:rFonts w:ascii="Titillium" w:eastAsia="Times New Roman" w:hAnsi="Titillium" w:cs="Times New Roman"/>
                <w:sz w:val="16"/>
                <w:szCs w:val="16"/>
              </w:rPr>
              <w:t>682</w:t>
            </w:r>
            <w:r w:rsidRPr="00BC419D">
              <w:rPr>
                <w:rFonts w:ascii="Titillium" w:eastAsia="Times New Roman" w:hAnsi="Titillium" w:cs="Times New Roman"/>
                <w:sz w:val="16"/>
                <w:szCs w:val="16"/>
              </w:rPr>
              <w:t>,</w:t>
            </w:r>
            <w:r w:rsidR="002C5935" w:rsidRPr="00BC419D">
              <w:rPr>
                <w:rFonts w:ascii="Titillium" w:eastAsia="Times New Roman" w:hAnsi="Titillium" w:cs="Times New Roman"/>
                <w:sz w:val="16"/>
                <w:szCs w:val="16"/>
              </w:rPr>
              <w:t xml:space="preserve"> z </w:t>
            </w:r>
            <w:proofErr w:type="spellStart"/>
            <w:r w:rsidR="002C5935" w:rsidRPr="00BC419D">
              <w:rPr>
                <w:rFonts w:ascii="Titillium" w:eastAsia="Times New Roman" w:hAnsi="Titillium" w:cs="Times New Roman"/>
                <w:sz w:val="16"/>
                <w:szCs w:val="16"/>
              </w:rPr>
              <w:t>późn</w:t>
            </w:r>
            <w:proofErr w:type="spellEnd"/>
            <w:r w:rsidR="002C5935" w:rsidRPr="00BC419D">
              <w:rPr>
                <w:rFonts w:ascii="Titillium" w:eastAsia="Times New Roman" w:hAnsi="Titillium" w:cs="Times New Roman"/>
                <w:sz w:val="16"/>
                <w:szCs w:val="16"/>
              </w:rPr>
              <w:t>. zm.</w:t>
            </w:r>
            <w:r w:rsidRPr="00BC419D">
              <w:rPr>
                <w:rFonts w:ascii="Titillium" w:eastAsia="Times New Roman" w:hAnsi="Titillium" w:cs="Times New Roman"/>
                <w:sz w:val="16"/>
                <w:szCs w:val="16"/>
              </w:rPr>
              <w:t xml:space="preserve">), </w:t>
            </w:r>
            <w:r w:rsidRPr="00D31C8C">
              <w:rPr>
                <w:rFonts w:ascii="Titillium" w:eastAsia="Times New Roman" w:hAnsi="Titillium" w:cs="Times New Roman"/>
                <w:sz w:val="16"/>
                <w:szCs w:val="16"/>
              </w:rPr>
              <w:t xml:space="preserve">oraz oznaczenie organu, do którego dokonano zgłoszenia, wraz z informacją o braku wniesienia sprzeciwu przez ten organ </w:t>
            </w:r>
          </w:p>
        </w:tc>
        <w:tc>
          <w:tcPr>
            <w:tcW w:w="1985" w:type="dxa"/>
            <w:tcBorders>
              <w:top w:val="single" w:sz="4" w:space="0" w:color="000000"/>
              <w:left w:val="single" w:sz="4" w:space="0" w:color="000000"/>
              <w:bottom w:val="single" w:sz="4" w:space="0" w:color="000000"/>
              <w:right w:val="nil"/>
            </w:tcBorders>
          </w:tcPr>
          <w:p w14:paraId="798E9035" w14:textId="5A10E52D" w:rsidR="000617DA" w:rsidRPr="00D63FC3" w:rsidRDefault="000617DA" w:rsidP="00794ED2">
            <w:pPr>
              <w:ind w:left="2"/>
              <w:rPr>
                <w:rFonts w:ascii="Titillium" w:hAnsi="Titillium"/>
                <w:sz w:val="16"/>
                <w:szCs w:val="16"/>
              </w:rPr>
            </w:pPr>
            <w:r w:rsidRPr="00D63FC3">
              <w:rPr>
                <w:rFonts w:ascii="Titillium" w:eastAsia="Times New Roman" w:hAnsi="Titillium" w:cs="Times New Roman"/>
                <w:sz w:val="16"/>
                <w:szCs w:val="16"/>
              </w:rPr>
              <w:t xml:space="preserve"> nie dotyczy</w:t>
            </w:r>
          </w:p>
        </w:tc>
        <w:tc>
          <w:tcPr>
            <w:tcW w:w="4819" w:type="dxa"/>
            <w:tcBorders>
              <w:top w:val="single" w:sz="4" w:space="0" w:color="000000"/>
              <w:left w:val="nil"/>
              <w:bottom w:val="single" w:sz="4" w:space="0" w:color="000000"/>
              <w:right w:val="single" w:sz="4" w:space="0" w:color="000000"/>
            </w:tcBorders>
          </w:tcPr>
          <w:p w14:paraId="6D3F4487" w14:textId="77777777" w:rsidR="000617DA" w:rsidRPr="00D31C8C" w:rsidRDefault="000617DA" w:rsidP="00794ED2">
            <w:pPr>
              <w:rPr>
                <w:rFonts w:ascii="Titillium" w:hAnsi="Titillium"/>
                <w:sz w:val="16"/>
                <w:szCs w:val="16"/>
              </w:rPr>
            </w:pPr>
          </w:p>
        </w:tc>
      </w:tr>
      <w:tr w:rsidR="00794ED2" w:rsidRPr="00D31C8C" w14:paraId="433081B0" w14:textId="77777777" w:rsidTr="00794ED2">
        <w:tblPrEx>
          <w:tblCellMar>
            <w:top w:w="167" w:type="dxa"/>
          </w:tblCellMar>
        </w:tblPrEx>
        <w:trPr>
          <w:gridAfter w:val="1"/>
          <w:wAfter w:w="5650" w:type="dxa"/>
          <w:trHeight w:val="400"/>
        </w:trPr>
        <w:tc>
          <w:tcPr>
            <w:tcW w:w="283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644855" w14:textId="77777777" w:rsidR="000617DA" w:rsidRPr="00D31C8C" w:rsidRDefault="000617DA" w:rsidP="00794ED2">
            <w:pPr>
              <w:ind w:right="32"/>
              <w:rPr>
                <w:rFonts w:ascii="Titillium" w:hAnsi="Titillium"/>
                <w:sz w:val="16"/>
                <w:szCs w:val="16"/>
              </w:rPr>
            </w:pPr>
            <w:r w:rsidRPr="00D31C8C">
              <w:rPr>
                <w:rFonts w:ascii="Titillium" w:eastAsia="Times New Roman" w:hAnsi="Titillium" w:cs="Times New Roman"/>
                <w:sz w:val="16"/>
                <w:szCs w:val="16"/>
              </w:rPr>
              <w:lastRenderedPageBreak/>
              <w:t xml:space="preserve">Data zakończenia budowy domu jednorodzinnego  </w:t>
            </w:r>
          </w:p>
        </w:tc>
        <w:tc>
          <w:tcPr>
            <w:tcW w:w="1985" w:type="dxa"/>
            <w:tcBorders>
              <w:top w:val="single" w:sz="4" w:space="0" w:color="000000"/>
              <w:left w:val="single" w:sz="4" w:space="0" w:color="000000"/>
              <w:bottom w:val="single" w:sz="4" w:space="0" w:color="000000"/>
              <w:right w:val="nil"/>
            </w:tcBorders>
          </w:tcPr>
          <w:p w14:paraId="5A37A311" w14:textId="2233D258" w:rsidR="000617DA" w:rsidRPr="00D63FC3" w:rsidRDefault="000617DA" w:rsidP="00794ED2">
            <w:pPr>
              <w:ind w:left="2"/>
              <w:rPr>
                <w:rFonts w:ascii="Titillium" w:hAnsi="Titillium"/>
                <w:sz w:val="16"/>
                <w:szCs w:val="16"/>
              </w:rPr>
            </w:pPr>
            <w:r w:rsidRPr="00D63FC3">
              <w:rPr>
                <w:rFonts w:ascii="Titillium" w:eastAsia="Times New Roman" w:hAnsi="Titillium" w:cs="Times New Roman"/>
                <w:sz w:val="16"/>
                <w:szCs w:val="16"/>
              </w:rPr>
              <w:t xml:space="preserve"> nie dotyczy</w:t>
            </w:r>
          </w:p>
        </w:tc>
        <w:tc>
          <w:tcPr>
            <w:tcW w:w="4819" w:type="dxa"/>
            <w:tcBorders>
              <w:top w:val="single" w:sz="4" w:space="0" w:color="000000"/>
              <w:left w:val="nil"/>
              <w:bottom w:val="single" w:sz="4" w:space="0" w:color="000000"/>
              <w:right w:val="single" w:sz="4" w:space="0" w:color="000000"/>
            </w:tcBorders>
          </w:tcPr>
          <w:p w14:paraId="2377BA3D" w14:textId="77777777" w:rsidR="000617DA" w:rsidRPr="00D31C8C" w:rsidRDefault="000617DA" w:rsidP="00794ED2">
            <w:pPr>
              <w:rPr>
                <w:rFonts w:ascii="Titillium" w:hAnsi="Titillium"/>
                <w:sz w:val="16"/>
                <w:szCs w:val="16"/>
              </w:rPr>
            </w:pPr>
          </w:p>
        </w:tc>
      </w:tr>
      <w:tr w:rsidR="00F61396" w:rsidRPr="00D31C8C" w14:paraId="16C559E1" w14:textId="77777777" w:rsidTr="00794ED2">
        <w:tblPrEx>
          <w:tblCellMar>
            <w:top w:w="167" w:type="dxa"/>
          </w:tblCellMar>
        </w:tblPrEx>
        <w:trPr>
          <w:gridAfter w:val="1"/>
          <w:wAfter w:w="5650" w:type="dxa"/>
          <w:trHeight w:val="804"/>
        </w:trPr>
        <w:tc>
          <w:tcPr>
            <w:tcW w:w="283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6EC1A60" w14:textId="77777777" w:rsidR="000617DA" w:rsidRPr="00D31C8C" w:rsidRDefault="000617DA" w:rsidP="00794ED2">
            <w:pPr>
              <w:rPr>
                <w:rFonts w:ascii="Titillium" w:hAnsi="Titillium"/>
                <w:sz w:val="16"/>
                <w:szCs w:val="16"/>
              </w:rPr>
            </w:pPr>
            <w:r w:rsidRPr="00D31C8C">
              <w:rPr>
                <w:rFonts w:ascii="Titillium" w:eastAsia="Times New Roman" w:hAnsi="Titillium" w:cs="Times New Roman"/>
                <w:sz w:val="16"/>
                <w:szCs w:val="16"/>
              </w:rPr>
              <w:t xml:space="preserve">Planowany termin rozpoczęcia </w:t>
            </w:r>
          </w:p>
          <w:p w14:paraId="1ABC9BC3" w14:textId="77777777" w:rsidR="000617DA" w:rsidRPr="00D31C8C" w:rsidRDefault="000617DA" w:rsidP="00794ED2">
            <w:pPr>
              <w:rPr>
                <w:rFonts w:ascii="Titillium" w:hAnsi="Titillium"/>
                <w:sz w:val="16"/>
                <w:szCs w:val="16"/>
              </w:rPr>
            </w:pPr>
            <w:r w:rsidRPr="00D31C8C">
              <w:rPr>
                <w:rFonts w:ascii="Titillium" w:eastAsia="Times New Roman" w:hAnsi="Titillium" w:cs="Times New Roman"/>
                <w:sz w:val="16"/>
                <w:szCs w:val="16"/>
              </w:rPr>
              <w:t xml:space="preserve">i zakończenia robót budowlanych </w:t>
            </w:r>
          </w:p>
        </w:tc>
        <w:tc>
          <w:tcPr>
            <w:tcW w:w="6804" w:type="dxa"/>
            <w:gridSpan w:val="2"/>
            <w:tcBorders>
              <w:top w:val="single" w:sz="4" w:space="0" w:color="000000"/>
              <w:left w:val="single" w:sz="4" w:space="0" w:color="000000"/>
              <w:bottom w:val="single" w:sz="4" w:space="0" w:color="000000"/>
              <w:right w:val="single" w:sz="4" w:space="0" w:color="000000"/>
            </w:tcBorders>
          </w:tcPr>
          <w:p w14:paraId="46109E47" w14:textId="66163C41" w:rsidR="005E408A" w:rsidRPr="004C76A0" w:rsidRDefault="00C439E0" w:rsidP="005E408A">
            <w:pPr>
              <w:rPr>
                <w:rFonts w:ascii="Titillium" w:eastAsia="Times New Roman" w:hAnsi="Titillium" w:cs="Times New Roman"/>
                <w:b/>
                <w:bCs/>
                <w:color w:val="000000" w:themeColor="text1"/>
                <w:sz w:val="16"/>
                <w:szCs w:val="16"/>
              </w:rPr>
            </w:pPr>
            <w:r w:rsidRPr="004C76A0">
              <w:rPr>
                <w:rFonts w:ascii="Titillium" w:eastAsia="Times New Roman" w:hAnsi="Titillium" w:cs="Times New Roman"/>
                <w:b/>
                <w:bCs/>
                <w:color w:val="000000" w:themeColor="text1"/>
                <w:sz w:val="16"/>
                <w:szCs w:val="16"/>
              </w:rPr>
              <w:t>17</w:t>
            </w:r>
            <w:r w:rsidR="005E408A" w:rsidRPr="004C76A0">
              <w:rPr>
                <w:rFonts w:ascii="Titillium" w:eastAsia="Times New Roman" w:hAnsi="Titillium" w:cs="Times New Roman"/>
                <w:b/>
                <w:bCs/>
                <w:color w:val="000000" w:themeColor="text1"/>
                <w:sz w:val="16"/>
                <w:szCs w:val="16"/>
              </w:rPr>
              <w:t>.0</w:t>
            </w:r>
            <w:r w:rsidRPr="004C76A0">
              <w:rPr>
                <w:rFonts w:ascii="Titillium" w:eastAsia="Times New Roman" w:hAnsi="Titillium" w:cs="Times New Roman"/>
                <w:b/>
                <w:bCs/>
                <w:color w:val="000000" w:themeColor="text1"/>
                <w:sz w:val="16"/>
                <w:szCs w:val="16"/>
              </w:rPr>
              <w:t>3</w:t>
            </w:r>
            <w:r w:rsidR="005E408A" w:rsidRPr="004C76A0">
              <w:rPr>
                <w:rFonts w:ascii="Titillium" w:eastAsia="Times New Roman" w:hAnsi="Titillium" w:cs="Times New Roman"/>
                <w:b/>
                <w:bCs/>
                <w:color w:val="000000" w:themeColor="text1"/>
                <w:sz w:val="16"/>
                <w:szCs w:val="16"/>
              </w:rPr>
              <w:t>.202</w:t>
            </w:r>
            <w:r w:rsidRPr="004C76A0">
              <w:rPr>
                <w:rFonts w:ascii="Titillium" w:eastAsia="Times New Roman" w:hAnsi="Titillium" w:cs="Times New Roman"/>
                <w:b/>
                <w:bCs/>
                <w:color w:val="000000" w:themeColor="text1"/>
                <w:sz w:val="16"/>
                <w:szCs w:val="16"/>
              </w:rPr>
              <w:t>5</w:t>
            </w:r>
            <w:r w:rsidR="005E408A" w:rsidRPr="004C76A0">
              <w:rPr>
                <w:rFonts w:ascii="Titillium" w:eastAsia="Times New Roman" w:hAnsi="Titillium" w:cs="Times New Roman"/>
                <w:b/>
                <w:bCs/>
                <w:color w:val="000000" w:themeColor="text1"/>
                <w:sz w:val="16"/>
                <w:szCs w:val="16"/>
              </w:rPr>
              <w:t>r. – rozpoczęcie robót budowlanych</w:t>
            </w:r>
          </w:p>
          <w:p w14:paraId="0694DCBE" w14:textId="153C9875" w:rsidR="005E408A" w:rsidRPr="004C76A0" w:rsidRDefault="005E408A" w:rsidP="005E408A">
            <w:pPr>
              <w:rPr>
                <w:rFonts w:ascii="Titillium" w:hAnsi="Titillium"/>
                <w:b/>
                <w:bCs/>
                <w:color w:val="000000" w:themeColor="text1"/>
                <w:sz w:val="16"/>
                <w:szCs w:val="16"/>
              </w:rPr>
            </w:pPr>
            <w:r w:rsidRPr="004C76A0">
              <w:rPr>
                <w:rFonts w:ascii="Titillium" w:hAnsi="Titillium"/>
                <w:b/>
                <w:bCs/>
                <w:color w:val="000000" w:themeColor="text1"/>
                <w:sz w:val="16"/>
                <w:szCs w:val="16"/>
              </w:rPr>
              <w:t>3</w:t>
            </w:r>
            <w:r w:rsidR="00181866" w:rsidRPr="004C76A0">
              <w:rPr>
                <w:rFonts w:ascii="Titillium" w:hAnsi="Titillium"/>
                <w:b/>
                <w:bCs/>
                <w:color w:val="000000" w:themeColor="text1"/>
                <w:sz w:val="16"/>
                <w:szCs w:val="16"/>
              </w:rPr>
              <w:t>0</w:t>
            </w:r>
            <w:r w:rsidRPr="004C76A0">
              <w:rPr>
                <w:rFonts w:ascii="Titillium" w:hAnsi="Titillium"/>
                <w:b/>
                <w:bCs/>
                <w:color w:val="000000" w:themeColor="text1"/>
                <w:sz w:val="16"/>
                <w:szCs w:val="16"/>
              </w:rPr>
              <w:t>.</w:t>
            </w:r>
            <w:r w:rsidR="00181866" w:rsidRPr="004C76A0">
              <w:rPr>
                <w:rFonts w:ascii="Titillium" w:hAnsi="Titillium"/>
                <w:b/>
                <w:bCs/>
                <w:color w:val="000000" w:themeColor="text1"/>
                <w:sz w:val="16"/>
                <w:szCs w:val="16"/>
              </w:rPr>
              <w:t>11</w:t>
            </w:r>
            <w:r w:rsidRPr="004C76A0">
              <w:rPr>
                <w:rFonts w:ascii="Titillium" w:hAnsi="Titillium"/>
                <w:b/>
                <w:bCs/>
                <w:color w:val="000000" w:themeColor="text1"/>
                <w:sz w:val="16"/>
                <w:szCs w:val="16"/>
              </w:rPr>
              <w:t>.2026r. – zakończenie robót budowlanych</w:t>
            </w:r>
          </w:p>
          <w:p w14:paraId="17E51B6D" w14:textId="0D5E4A2D" w:rsidR="005E408A" w:rsidRPr="004C76A0" w:rsidRDefault="00033885" w:rsidP="005E408A">
            <w:pPr>
              <w:rPr>
                <w:rFonts w:ascii="Titillium" w:hAnsi="Titillium"/>
                <w:b/>
                <w:bCs/>
                <w:color w:val="000000" w:themeColor="text1"/>
                <w:sz w:val="16"/>
                <w:szCs w:val="16"/>
              </w:rPr>
            </w:pPr>
            <w:r w:rsidRPr="004C76A0">
              <w:rPr>
                <w:rFonts w:ascii="Titillium" w:hAnsi="Titillium"/>
                <w:b/>
                <w:bCs/>
                <w:color w:val="000000" w:themeColor="text1"/>
                <w:sz w:val="16"/>
                <w:szCs w:val="16"/>
              </w:rPr>
              <w:t>30</w:t>
            </w:r>
            <w:r w:rsidR="005E408A" w:rsidRPr="004C76A0">
              <w:rPr>
                <w:rFonts w:ascii="Titillium" w:hAnsi="Titillium"/>
                <w:b/>
                <w:bCs/>
                <w:color w:val="000000" w:themeColor="text1"/>
                <w:sz w:val="16"/>
                <w:szCs w:val="16"/>
              </w:rPr>
              <w:t>.</w:t>
            </w:r>
            <w:r w:rsidR="00181866" w:rsidRPr="004C76A0">
              <w:rPr>
                <w:rFonts w:ascii="Titillium" w:hAnsi="Titillium"/>
                <w:b/>
                <w:bCs/>
                <w:color w:val="000000" w:themeColor="text1"/>
                <w:sz w:val="16"/>
                <w:szCs w:val="16"/>
              </w:rPr>
              <w:t>0</w:t>
            </w:r>
            <w:r w:rsidRPr="004C76A0">
              <w:rPr>
                <w:rFonts w:ascii="Titillium" w:hAnsi="Titillium"/>
                <w:b/>
                <w:bCs/>
                <w:color w:val="000000" w:themeColor="text1"/>
                <w:sz w:val="16"/>
                <w:szCs w:val="16"/>
              </w:rPr>
              <w:t>4</w:t>
            </w:r>
            <w:r w:rsidR="005E408A" w:rsidRPr="004C76A0">
              <w:rPr>
                <w:rFonts w:ascii="Titillium" w:hAnsi="Titillium"/>
                <w:b/>
                <w:bCs/>
                <w:color w:val="000000" w:themeColor="text1"/>
                <w:sz w:val="16"/>
                <w:szCs w:val="16"/>
              </w:rPr>
              <w:t>.202</w:t>
            </w:r>
            <w:r w:rsidR="00C439E0" w:rsidRPr="004C76A0">
              <w:rPr>
                <w:rFonts w:ascii="Titillium" w:hAnsi="Titillium"/>
                <w:b/>
                <w:bCs/>
                <w:color w:val="000000" w:themeColor="text1"/>
                <w:sz w:val="16"/>
                <w:szCs w:val="16"/>
              </w:rPr>
              <w:t>7</w:t>
            </w:r>
            <w:r w:rsidR="005E408A" w:rsidRPr="004C76A0">
              <w:rPr>
                <w:rFonts w:ascii="Titillium" w:hAnsi="Titillium"/>
                <w:b/>
                <w:bCs/>
                <w:color w:val="000000" w:themeColor="text1"/>
                <w:sz w:val="16"/>
                <w:szCs w:val="16"/>
              </w:rPr>
              <w:t>r. – zagospodarowanie terenu</w:t>
            </w:r>
            <w:r w:rsidR="00EF64C4">
              <w:rPr>
                <w:rFonts w:ascii="Titillium" w:hAnsi="Titillium"/>
                <w:b/>
                <w:bCs/>
                <w:color w:val="000000" w:themeColor="text1"/>
                <w:sz w:val="16"/>
                <w:szCs w:val="16"/>
              </w:rPr>
              <w:t xml:space="preserve"> (teren zielony, nasadzenia)</w:t>
            </w:r>
          </w:p>
          <w:p w14:paraId="12E92F39" w14:textId="061EBB41" w:rsidR="00B76267" w:rsidRPr="004C76A0" w:rsidRDefault="00B76267" w:rsidP="00794ED2">
            <w:pPr>
              <w:rPr>
                <w:rFonts w:ascii="Titillium" w:hAnsi="Titillium"/>
                <w:b/>
                <w:bCs/>
                <w:color w:val="000000" w:themeColor="text1"/>
                <w:sz w:val="16"/>
                <w:szCs w:val="16"/>
              </w:rPr>
            </w:pPr>
          </w:p>
        </w:tc>
      </w:tr>
      <w:tr w:rsidR="00994D8A" w:rsidRPr="00D31C8C" w14:paraId="44EEF2AA" w14:textId="77777777" w:rsidTr="00794ED2">
        <w:tblPrEx>
          <w:tblCellMar>
            <w:top w:w="167" w:type="dxa"/>
          </w:tblCellMar>
        </w:tblPrEx>
        <w:trPr>
          <w:gridAfter w:val="1"/>
          <w:wAfter w:w="5650" w:type="dxa"/>
          <w:trHeight w:val="52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2C15BABF" w14:textId="77777777" w:rsidR="00994D8A" w:rsidRPr="00D31C8C" w:rsidRDefault="00994D8A" w:rsidP="00994D8A">
            <w:pPr>
              <w:spacing w:after="125"/>
              <w:rPr>
                <w:rFonts w:ascii="Titillium" w:hAnsi="Titillium"/>
                <w:sz w:val="16"/>
                <w:szCs w:val="16"/>
              </w:rPr>
            </w:pPr>
            <w:r w:rsidRPr="00D31C8C">
              <w:rPr>
                <w:rFonts w:ascii="Titillium" w:eastAsia="Times New Roman" w:hAnsi="Titillium" w:cs="Times New Roman"/>
                <w:sz w:val="16"/>
                <w:szCs w:val="16"/>
              </w:rPr>
              <w:t xml:space="preserve"> </w:t>
            </w:r>
          </w:p>
          <w:p w14:paraId="58A9F918" w14:textId="77777777" w:rsidR="00994D8A" w:rsidRPr="00D31C8C" w:rsidRDefault="00994D8A" w:rsidP="00994D8A">
            <w:pPr>
              <w:ind w:right="328"/>
              <w:rPr>
                <w:rFonts w:ascii="Titillium" w:hAnsi="Titillium"/>
                <w:sz w:val="16"/>
                <w:szCs w:val="16"/>
              </w:rPr>
            </w:pPr>
            <w:r w:rsidRPr="00D31C8C">
              <w:rPr>
                <w:rFonts w:ascii="Titillium" w:eastAsia="Times New Roman" w:hAnsi="Titillium" w:cs="Times New Roman"/>
                <w:sz w:val="16"/>
                <w:szCs w:val="16"/>
              </w:rPr>
              <w:t xml:space="preserve">Opis przedsięwzięcia deweloperskiego lub zadania inwestycyjnego </w:t>
            </w:r>
          </w:p>
        </w:tc>
        <w:tc>
          <w:tcPr>
            <w:tcW w:w="1985" w:type="dxa"/>
            <w:tcBorders>
              <w:top w:val="single" w:sz="4" w:space="0" w:color="000000"/>
              <w:left w:val="single" w:sz="4" w:space="0" w:color="000000"/>
              <w:bottom w:val="single" w:sz="4" w:space="0" w:color="000000"/>
              <w:right w:val="single" w:sz="4" w:space="0" w:color="000000"/>
            </w:tcBorders>
            <w:vAlign w:val="center"/>
          </w:tcPr>
          <w:p w14:paraId="0BC5E10B" w14:textId="77777777" w:rsidR="00994D8A" w:rsidRPr="00D31C8C" w:rsidRDefault="00994D8A" w:rsidP="00994D8A">
            <w:pPr>
              <w:ind w:left="2"/>
              <w:rPr>
                <w:rFonts w:ascii="Titillium" w:hAnsi="Titillium"/>
                <w:sz w:val="16"/>
                <w:szCs w:val="16"/>
              </w:rPr>
            </w:pPr>
            <w:r w:rsidRPr="00D31C8C">
              <w:rPr>
                <w:rFonts w:ascii="Titillium" w:eastAsia="Times New Roman" w:hAnsi="Titillium" w:cs="Times New Roman"/>
                <w:sz w:val="16"/>
                <w:szCs w:val="16"/>
              </w:rPr>
              <w:t xml:space="preserve">Liczba budynków  </w:t>
            </w:r>
          </w:p>
        </w:tc>
        <w:tc>
          <w:tcPr>
            <w:tcW w:w="4819" w:type="dxa"/>
            <w:tcBorders>
              <w:top w:val="single" w:sz="4" w:space="0" w:color="000000"/>
              <w:left w:val="single" w:sz="4" w:space="0" w:color="000000"/>
              <w:bottom w:val="single" w:sz="4" w:space="0" w:color="000000"/>
              <w:right w:val="single" w:sz="4" w:space="0" w:color="000000"/>
            </w:tcBorders>
            <w:vAlign w:val="center"/>
          </w:tcPr>
          <w:p w14:paraId="5AAB2516" w14:textId="77777777" w:rsidR="00994D8A" w:rsidRPr="00902419" w:rsidRDefault="00994D8A" w:rsidP="00994D8A">
            <w:pPr>
              <w:ind w:left="4"/>
              <w:rPr>
                <w:rFonts w:ascii="Titillium" w:hAnsi="Titillium" w:cs="Times New Roman"/>
                <w:sz w:val="16"/>
                <w:szCs w:val="16"/>
              </w:rPr>
            </w:pPr>
            <w:r w:rsidRPr="00902419">
              <w:rPr>
                <w:rFonts w:ascii="Titillium" w:eastAsia="Times New Roman" w:hAnsi="Titillium" w:cs="Times New Roman"/>
                <w:sz w:val="16"/>
                <w:szCs w:val="16"/>
              </w:rPr>
              <w:t>1</w:t>
            </w:r>
          </w:p>
          <w:p w14:paraId="415715DF" w14:textId="7818636C" w:rsidR="00994D8A" w:rsidRPr="00902419" w:rsidRDefault="00994D8A" w:rsidP="00994D8A">
            <w:pPr>
              <w:ind w:left="4"/>
              <w:rPr>
                <w:rFonts w:ascii="Titillium" w:hAnsi="Titillium"/>
                <w:sz w:val="16"/>
                <w:szCs w:val="16"/>
              </w:rPr>
            </w:pPr>
          </w:p>
        </w:tc>
      </w:tr>
      <w:tr w:rsidR="00994D8A" w:rsidRPr="00D31C8C" w14:paraId="0B8887C7" w14:textId="77777777" w:rsidTr="00794ED2">
        <w:tblPrEx>
          <w:tblCellMar>
            <w:top w:w="167" w:type="dxa"/>
          </w:tblCellMar>
        </w:tblPrEx>
        <w:trPr>
          <w:gridAfter w:val="1"/>
          <w:wAfter w:w="5650" w:type="dxa"/>
          <w:trHeight w:val="988"/>
        </w:trPr>
        <w:tc>
          <w:tcPr>
            <w:tcW w:w="2830" w:type="dxa"/>
            <w:vMerge/>
            <w:tcBorders>
              <w:top w:val="nil"/>
              <w:left w:val="single" w:sz="4" w:space="0" w:color="000000"/>
              <w:bottom w:val="single" w:sz="4" w:space="0" w:color="000000"/>
              <w:right w:val="single" w:sz="4" w:space="0" w:color="000000"/>
            </w:tcBorders>
          </w:tcPr>
          <w:p w14:paraId="1DE037C1" w14:textId="77777777" w:rsidR="00994D8A" w:rsidRPr="00D31C8C" w:rsidRDefault="00994D8A" w:rsidP="00994D8A">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DC7B257" w14:textId="77777777" w:rsidR="00994D8A" w:rsidRPr="00D31C8C" w:rsidRDefault="00994D8A" w:rsidP="00994D8A">
            <w:pPr>
              <w:ind w:left="2" w:right="53"/>
              <w:jc w:val="both"/>
              <w:rPr>
                <w:rFonts w:ascii="Titillium" w:hAnsi="Titillium"/>
                <w:sz w:val="16"/>
                <w:szCs w:val="16"/>
              </w:rPr>
            </w:pPr>
            <w:r w:rsidRPr="00D31C8C">
              <w:rPr>
                <w:rFonts w:ascii="Titillium" w:eastAsia="Times New Roman" w:hAnsi="Titillium" w:cs="Times New Roman"/>
                <w:sz w:val="16"/>
                <w:szCs w:val="16"/>
              </w:rPr>
              <w:t xml:space="preserve">Rozmieszczenie budynków na nieruchomości (należy podać minimalny odstęp między budynkami) </w:t>
            </w:r>
          </w:p>
        </w:tc>
        <w:tc>
          <w:tcPr>
            <w:tcW w:w="4819" w:type="dxa"/>
            <w:tcBorders>
              <w:top w:val="single" w:sz="4" w:space="0" w:color="000000"/>
              <w:left w:val="single" w:sz="4" w:space="0" w:color="000000"/>
              <w:bottom w:val="single" w:sz="4" w:space="0" w:color="000000"/>
              <w:right w:val="single" w:sz="4" w:space="0" w:color="000000"/>
            </w:tcBorders>
          </w:tcPr>
          <w:p w14:paraId="31119B88" w14:textId="7E35D8A6" w:rsidR="00994D8A" w:rsidRPr="00902419" w:rsidRDefault="00994D8A" w:rsidP="00994D8A">
            <w:pPr>
              <w:ind w:left="4"/>
              <w:rPr>
                <w:rFonts w:ascii="Titillium" w:hAnsi="Titillium"/>
                <w:sz w:val="16"/>
                <w:szCs w:val="16"/>
              </w:rPr>
            </w:pPr>
            <w:r w:rsidRPr="00902419">
              <w:rPr>
                <w:rFonts w:ascii="Titillium" w:eastAsia="Times New Roman" w:hAnsi="Titillium" w:cs="Times New Roman"/>
                <w:sz w:val="16"/>
                <w:szCs w:val="16"/>
              </w:rPr>
              <w:t>nie dotyczy</w:t>
            </w:r>
          </w:p>
        </w:tc>
      </w:tr>
      <w:tr w:rsidR="00F61396" w:rsidRPr="00D31C8C" w14:paraId="6F10C1F4" w14:textId="77777777" w:rsidTr="00794ED2">
        <w:tblPrEx>
          <w:tblCellMar>
            <w:top w:w="167" w:type="dxa"/>
          </w:tblCellMar>
        </w:tblPrEx>
        <w:trPr>
          <w:gridAfter w:val="1"/>
          <w:wAfter w:w="5650" w:type="dxa"/>
          <w:trHeight w:val="808"/>
        </w:trPr>
        <w:tc>
          <w:tcPr>
            <w:tcW w:w="283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CD88D4" w14:textId="77777777" w:rsidR="000617DA" w:rsidRPr="00D31C8C" w:rsidRDefault="000617DA" w:rsidP="00794ED2">
            <w:pPr>
              <w:rPr>
                <w:rFonts w:ascii="Titillium" w:hAnsi="Titillium"/>
                <w:sz w:val="16"/>
                <w:szCs w:val="16"/>
              </w:rPr>
            </w:pPr>
            <w:r w:rsidRPr="00D31C8C">
              <w:rPr>
                <w:rFonts w:ascii="Titillium" w:eastAsia="Times New Roman" w:hAnsi="Titillium" w:cs="Times New Roman"/>
                <w:sz w:val="16"/>
                <w:szCs w:val="16"/>
              </w:rPr>
              <w:t xml:space="preserve">Sposób pomiaru powierzchni użytkowej lokalu mieszkalnego albo domu jednorodzinnego </w:t>
            </w:r>
          </w:p>
        </w:tc>
        <w:tc>
          <w:tcPr>
            <w:tcW w:w="6804" w:type="dxa"/>
            <w:gridSpan w:val="2"/>
            <w:tcBorders>
              <w:top w:val="single" w:sz="4" w:space="0" w:color="000000"/>
              <w:left w:val="single" w:sz="4" w:space="0" w:color="000000"/>
              <w:bottom w:val="single" w:sz="4" w:space="0" w:color="000000"/>
              <w:right w:val="single" w:sz="4" w:space="0" w:color="000000"/>
            </w:tcBorders>
          </w:tcPr>
          <w:p w14:paraId="34EFD024" w14:textId="0827A29D" w:rsidR="000617DA" w:rsidRPr="001A62F6" w:rsidRDefault="000617DA" w:rsidP="00794ED2">
            <w:pPr>
              <w:rPr>
                <w:rFonts w:ascii="Titillium" w:hAnsi="Titillium"/>
                <w:sz w:val="16"/>
                <w:szCs w:val="16"/>
              </w:rPr>
            </w:pPr>
            <w:r w:rsidRPr="009B051D">
              <w:rPr>
                <w:rFonts w:ascii="Titillium" w:eastAsia="Times New Roman" w:hAnsi="Titillium" w:cs="Times New Roman"/>
                <w:sz w:val="16"/>
                <w:szCs w:val="16"/>
              </w:rPr>
              <w:t xml:space="preserve">Powierzchnię użytkową obliczono wg obmiarów pomieszczeń wykonanych w świetle ścian w stanie wykończonym zgodnie z </w:t>
            </w:r>
            <w:r w:rsidR="001A62F6" w:rsidRPr="009B051D">
              <w:rPr>
                <w:rFonts w:ascii="Titillium" w:eastAsia="Times New Roman" w:hAnsi="Titillium" w:cs="Times New Roman"/>
                <w:sz w:val="16"/>
                <w:szCs w:val="16"/>
              </w:rPr>
              <w:t xml:space="preserve">Normą PN-ISO </w:t>
            </w:r>
            <w:r w:rsidR="00E35CC7" w:rsidRPr="009B051D">
              <w:rPr>
                <w:rFonts w:ascii="Titillium" w:eastAsia="Times New Roman" w:hAnsi="Titillium" w:cs="Times New Roman"/>
                <w:sz w:val="16"/>
                <w:szCs w:val="16"/>
              </w:rPr>
              <w:t>9836:2015-12</w:t>
            </w:r>
          </w:p>
        </w:tc>
      </w:tr>
      <w:tr w:rsidR="00794ED2" w:rsidRPr="00D31C8C" w14:paraId="5EC5887A" w14:textId="77777777" w:rsidTr="00794ED2">
        <w:tblPrEx>
          <w:tblCellMar>
            <w:top w:w="167" w:type="dxa"/>
          </w:tblCellMar>
        </w:tblPrEx>
        <w:trPr>
          <w:gridAfter w:val="1"/>
          <w:wAfter w:w="5650" w:type="dxa"/>
          <w:trHeight w:val="81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70ED956A" w14:textId="77777777" w:rsidR="000617DA" w:rsidRPr="00D31C8C" w:rsidRDefault="000617DA" w:rsidP="00794ED2">
            <w:pPr>
              <w:ind w:right="258"/>
              <w:rPr>
                <w:rFonts w:ascii="Titillium" w:hAnsi="Titillium"/>
                <w:sz w:val="16"/>
                <w:szCs w:val="16"/>
              </w:rPr>
            </w:pPr>
            <w:r w:rsidRPr="00D31C8C">
              <w:rPr>
                <w:rFonts w:ascii="Titillium" w:eastAsia="Times New Roman" w:hAnsi="Titillium" w:cs="Times New Roman"/>
                <w:sz w:val="16"/>
                <w:szCs w:val="16"/>
              </w:rPr>
              <w:t xml:space="preserve">Zamierzony sposób i procentowy udział źródeł finansowania przedsięwzięcia deweloperskiego lub zadania inwestycyjnego </w:t>
            </w:r>
          </w:p>
        </w:tc>
        <w:tc>
          <w:tcPr>
            <w:tcW w:w="1985" w:type="dxa"/>
            <w:tcBorders>
              <w:top w:val="single" w:sz="4" w:space="0" w:color="000000"/>
              <w:left w:val="single" w:sz="4" w:space="0" w:color="000000"/>
              <w:bottom w:val="single" w:sz="4" w:space="0" w:color="000000"/>
              <w:right w:val="single" w:sz="4" w:space="0" w:color="000000"/>
            </w:tcBorders>
            <w:vAlign w:val="center"/>
          </w:tcPr>
          <w:p w14:paraId="6589F360" w14:textId="77777777" w:rsidR="000617DA" w:rsidRPr="003030F1" w:rsidRDefault="000617DA" w:rsidP="00794ED2">
            <w:pPr>
              <w:ind w:left="2"/>
              <w:jc w:val="both"/>
              <w:rPr>
                <w:rFonts w:ascii="Titillium" w:hAnsi="Titillium"/>
                <w:sz w:val="16"/>
                <w:szCs w:val="16"/>
              </w:rPr>
            </w:pPr>
            <w:r w:rsidRPr="003030F1">
              <w:rPr>
                <w:rFonts w:ascii="Titillium" w:eastAsia="Times New Roman" w:hAnsi="Titillium" w:cs="Times New Roman"/>
                <w:sz w:val="16"/>
                <w:szCs w:val="16"/>
              </w:rPr>
              <w:t xml:space="preserve">Rodzaj posiadanych środków finansowych – kredyt, środki własne, inne </w:t>
            </w:r>
          </w:p>
        </w:tc>
        <w:tc>
          <w:tcPr>
            <w:tcW w:w="4819" w:type="dxa"/>
            <w:tcBorders>
              <w:top w:val="single" w:sz="4" w:space="0" w:color="000000"/>
              <w:left w:val="single" w:sz="4" w:space="0" w:color="000000"/>
              <w:bottom w:val="single" w:sz="4" w:space="0" w:color="000000"/>
              <w:right w:val="single" w:sz="4" w:space="0" w:color="000000"/>
            </w:tcBorders>
          </w:tcPr>
          <w:p w14:paraId="402C7FDE" w14:textId="6A7676EF" w:rsidR="00EB475B" w:rsidRDefault="000617DA" w:rsidP="00794ED2">
            <w:pPr>
              <w:ind w:left="4"/>
              <w:rPr>
                <w:rFonts w:ascii="Titillium" w:eastAsia="Times New Roman" w:hAnsi="Titillium" w:cs="Times New Roman"/>
                <w:sz w:val="16"/>
                <w:szCs w:val="16"/>
              </w:rPr>
            </w:pPr>
            <w:r w:rsidRPr="00033885">
              <w:rPr>
                <w:rFonts w:ascii="Titillium" w:eastAsia="Times New Roman" w:hAnsi="Titillium" w:cs="Times New Roman"/>
                <w:sz w:val="16"/>
                <w:szCs w:val="16"/>
              </w:rPr>
              <w:t>środki własne</w:t>
            </w:r>
            <w:r w:rsidR="00EB475B">
              <w:rPr>
                <w:rFonts w:ascii="Titillium" w:eastAsia="Times New Roman" w:hAnsi="Titillium" w:cs="Times New Roman"/>
                <w:sz w:val="16"/>
                <w:szCs w:val="16"/>
              </w:rPr>
              <w:t xml:space="preserve"> </w:t>
            </w:r>
            <w:r w:rsidR="006D1A2C">
              <w:rPr>
                <w:rFonts w:ascii="Titillium" w:eastAsia="Times New Roman" w:hAnsi="Titillium" w:cs="Times New Roman"/>
                <w:sz w:val="16"/>
                <w:szCs w:val="16"/>
              </w:rPr>
              <w:t>–</w:t>
            </w:r>
            <w:r w:rsidR="00D23736">
              <w:rPr>
                <w:rFonts w:ascii="Titillium" w:eastAsia="Times New Roman" w:hAnsi="Titillium" w:cs="Times New Roman"/>
                <w:sz w:val="16"/>
                <w:szCs w:val="16"/>
              </w:rPr>
              <w:t xml:space="preserve"> </w:t>
            </w:r>
            <w:r w:rsidR="006D1A2C">
              <w:rPr>
                <w:rFonts w:ascii="Titillium" w:eastAsia="Times New Roman" w:hAnsi="Titillium" w:cs="Times New Roman"/>
                <w:sz w:val="16"/>
                <w:szCs w:val="16"/>
              </w:rPr>
              <w:t>78%</w:t>
            </w:r>
          </w:p>
          <w:p w14:paraId="0AE1998D" w14:textId="3D7E9FC1" w:rsidR="000617DA" w:rsidRPr="00033885" w:rsidRDefault="00D23736" w:rsidP="00794ED2">
            <w:pPr>
              <w:ind w:left="4"/>
              <w:rPr>
                <w:rFonts w:ascii="Titillium" w:eastAsia="Times New Roman" w:hAnsi="Titillium" w:cs="Times New Roman"/>
                <w:sz w:val="16"/>
                <w:szCs w:val="16"/>
              </w:rPr>
            </w:pPr>
            <w:r>
              <w:rPr>
                <w:rFonts w:ascii="Titillium" w:eastAsia="Times New Roman" w:hAnsi="Titillium" w:cs="Times New Roman"/>
                <w:sz w:val="16"/>
                <w:szCs w:val="16"/>
              </w:rPr>
              <w:t>kredyt</w:t>
            </w:r>
            <w:r w:rsidR="00EB475B">
              <w:rPr>
                <w:rFonts w:ascii="Titillium" w:eastAsia="Times New Roman" w:hAnsi="Titillium" w:cs="Times New Roman"/>
                <w:sz w:val="16"/>
                <w:szCs w:val="16"/>
              </w:rPr>
              <w:t xml:space="preserve"> </w:t>
            </w:r>
            <w:r w:rsidR="006D1A2C">
              <w:rPr>
                <w:rFonts w:ascii="Titillium" w:eastAsia="Times New Roman" w:hAnsi="Titillium" w:cs="Times New Roman"/>
                <w:sz w:val="16"/>
                <w:szCs w:val="16"/>
              </w:rPr>
              <w:t>– 22%</w:t>
            </w:r>
          </w:p>
          <w:p w14:paraId="784A8B0E" w14:textId="0C473B01" w:rsidR="000617DA" w:rsidRPr="005E32AC" w:rsidRDefault="000617DA" w:rsidP="00794ED2">
            <w:pPr>
              <w:ind w:left="4"/>
              <w:rPr>
                <w:rFonts w:ascii="Titillium" w:hAnsi="Titillium"/>
                <w:color w:val="FF0000"/>
                <w:sz w:val="16"/>
                <w:szCs w:val="16"/>
              </w:rPr>
            </w:pPr>
          </w:p>
        </w:tc>
      </w:tr>
      <w:tr w:rsidR="00794ED2" w:rsidRPr="00D31C8C" w14:paraId="2799E641" w14:textId="77777777" w:rsidTr="00794ED2">
        <w:tblPrEx>
          <w:tblCellMar>
            <w:top w:w="167" w:type="dxa"/>
          </w:tblCellMar>
        </w:tblPrEx>
        <w:trPr>
          <w:gridAfter w:val="1"/>
          <w:wAfter w:w="5650" w:type="dxa"/>
          <w:trHeight w:val="438"/>
        </w:trPr>
        <w:tc>
          <w:tcPr>
            <w:tcW w:w="2830" w:type="dxa"/>
            <w:vMerge/>
            <w:tcBorders>
              <w:top w:val="nil"/>
              <w:left w:val="single" w:sz="4" w:space="0" w:color="000000"/>
              <w:bottom w:val="single" w:sz="4" w:space="0" w:color="000000"/>
              <w:right w:val="single" w:sz="4" w:space="0" w:color="000000"/>
            </w:tcBorders>
          </w:tcPr>
          <w:p w14:paraId="5B119BD7" w14:textId="77777777" w:rsidR="000617DA" w:rsidRPr="00D31C8C" w:rsidRDefault="000617DA"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D947A0C" w14:textId="5F49F3D2" w:rsidR="000617DA" w:rsidRPr="00D31C8C" w:rsidRDefault="000617DA" w:rsidP="00794ED2">
            <w:pPr>
              <w:ind w:left="2"/>
              <w:jc w:val="both"/>
              <w:rPr>
                <w:rFonts w:ascii="Titillium" w:hAnsi="Titillium"/>
                <w:sz w:val="16"/>
                <w:szCs w:val="16"/>
              </w:rPr>
            </w:pPr>
            <w:r w:rsidRPr="00D31C8C">
              <w:rPr>
                <w:rFonts w:ascii="Titillium" w:eastAsia="Times New Roman" w:hAnsi="Titillium" w:cs="Times New Roman"/>
                <w:sz w:val="16"/>
                <w:szCs w:val="16"/>
              </w:rPr>
              <w:t>W</w:t>
            </w:r>
            <w:r w:rsidR="00EB475B">
              <w:rPr>
                <w:rFonts w:ascii="Titillium" w:eastAsia="Times New Roman" w:hAnsi="Titillium" w:cs="Times New Roman"/>
                <w:sz w:val="16"/>
                <w:szCs w:val="16"/>
              </w:rPr>
              <w:t xml:space="preserve"> </w:t>
            </w:r>
            <w:r w:rsidRPr="00D31C8C">
              <w:rPr>
                <w:rFonts w:ascii="Titillium" w:eastAsia="Times New Roman" w:hAnsi="Titillium" w:cs="Times New Roman"/>
                <w:sz w:val="16"/>
                <w:szCs w:val="16"/>
              </w:rPr>
              <w:t xml:space="preserve">następujących instytucjach finansowych (wypełnia się w przypadku kredytu) </w:t>
            </w:r>
          </w:p>
        </w:tc>
        <w:tc>
          <w:tcPr>
            <w:tcW w:w="4819" w:type="dxa"/>
            <w:tcBorders>
              <w:top w:val="single" w:sz="4" w:space="0" w:color="000000"/>
              <w:left w:val="single" w:sz="4" w:space="0" w:color="000000"/>
              <w:bottom w:val="single" w:sz="4" w:space="0" w:color="000000"/>
              <w:right w:val="single" w:sz="4" w:space="0" w:color="000000"/>
            </w:tcBorders>
          </w:tcPr>
          <w:p w14:paraId="3A947358" w14:textId="77777777" w:rsidR="00EB475B" w:rsidRPr="00EB475B" w:rsidRDefault="00EB475B" w:rsidP="00EB475B">
            <w:pPr>
              <w:ind w:left="4"/>
              <w:rPr>
                <w:rFonts w:ascii="Titillium" w:hAnsi="Titillium"/>
                <w:sz w:val="16"/>
                <w:szCs w:val="16"/>
              </w:rPr>
            </w:pPr>
            <w:r w:rsidRPr="00EB475B">
              <w:rPr>
                <w:rFonts w:ascii="Titillium" w:hAnsi="Titillium"/>
                <w:sz w:val="16"/>
                <w:szCs w:val="16"/>
              </w:rPr>
              <w:t>Bank Spółdzielczy w Białymstoku,</w:t>
            </w:r>
          </w:p>
          <w:p w14:paraId="541AEA43" w14:textId="6C19CE7C" w:rsidR="000617DA" w:rsidRPr="005E32AC" w:rsidRDefault="00EB475B" w:rsidP="00EB475B">
            <w:pPr>
              <w:ind w:left="4"/>
              <w:rPr>
                <w:rFonts w:ascii="Titillium" w:hAnsi="Titillium"/>
                <w:color w:val="FF0000"/>
                <w:sz w:val="16"/>
                <w:szCs w:val="16"/>
              </w:rPr>
            </w:pPr>
            <w:r w:rsidRPr="00EB475B">
              <w:rPr>
                <w:rFonts w:ascii="Titillium" w:hAnsi="Titillium"/>
                <w:sz w:val="16"/>
                <w:szCs w:val="16"/>
              </w:rPr>
              <w:t>ul. L. Zamenhofa 4, 15-435 Białystok</w:t>
            </w:r>
          </w:p>
        </w:tc>
      </w:tr>
      <w:tr w:rsidR="00794ED2" w:rsidRPr="00D31C8C" w14:paraId="13F693A0" w14:textId="77777777" w:rsidTr="00794ED2">
        <w:tblPrEx>
          <w:tblCellMar>
            <w:top w:w="167" w:type="dxa"/>
          </w:tblCellMar>
        </w:tblPrEx>
        <w:trPr>
          <w:gridAfter w:val="1"/>
          <w:wAfter w:w="5650" w:type="dxa"/>
          <w:trHeight w:val="533"/>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6232441" w14:textId="77777777" w:rsidR="000617DA" w:rsidRPr="00D31C8C" w:rsidRDefault="000617DA" w:rsidP="00794ED2">
            <w:pPr>
              <w:rPr>
                <w:rFonts w:ascii="Titillium" w:hAnsi="Titillium"/>
                <w:sz w:val="16"/>
                <w:szCs w:val="16"/>
              </w:rPr>
            </w:pPr>
            <w:r w:rsidRPr="00D31C8C">
              <w:rPr>
                <w:rFonts w:ascii="Titillium" w:eastAsia="Times New Roman" w:hAnsi="Titillium" w:cs="Times New Roman"/>
                <w:sz w:val="16"/>
                <w:szCs w:val="16"/>
              </w:rPr>
              <w:t xml:space="preserve">Środki ochrony nabywców </w:t>
            </w:r>
          </w:p>
        </w:tc>
        <w:tc>
          <w:tcPr>
            <w:tcW w:w="1985" w:type="dxa"/>
            <w:tcBorders>
              <w:top w:val="single" w:sz="4" w:space="0" w:color="000000"/>
              <w:left w:val="single" w:sz="4" w:space="0" w:color="000000"/>
              <w:bottom w:val="single" w:sz="4" w:space="0" w:color="000000"/>
              <w:right w:val="single" w:sz="4" w:space="0" w:color="000000"/>
            </w:tcBorders>
          </w:tcPr>
          <w:p w14:paraId="1D32A6E2" w14:textId="06724A79" w:rsidR="000617DA" w:rsidRPr="00D31C8C" w:rsidRDefault="00B30B2A" w:rsidP="00794ED2">
            <w:pPr>
              <w:ind w:left="2"/>
              <w:rPr>
                <w:rFonts w:ascii="Titillium" w:hAnsi="Titillium"/>
                <w:sz w:val="16"/>
                <w:szCs w:val="16"/>
              </w:rPr>
            </w:pPr>
            <w:r>
              <w:rPr>
                <w:rFonts w:ascii="Titillium" w:eastAsia="Times New Roman" w:hAnsi="Titillium" w:cs="Times New Roman"/>
                <w:sz w:val="16"/>
                <w:szCs w:val="16"/>
              </w:rPr>
              <w:t>o</w:t>
            </w:r>
            <w:r w:rsidR="000617DA" w:rsidRPr="00D31C8C">
              <w:rPr>
                <w:rFonts w:ascii="Titillium" w:eastAsia="Times New Roman" w:hAnsi="Titillium" w:cs="Times New Roman"/>
                <w:sz w:val="16"/>
                <w:szCs w:val="16"/>
              </w:rPr>
              <w:t>twarty mieszkaniowy rachunek</w:t>
            </w:r>
            <w:r w:rsidR="000617DA">
              <w:rPr>
                <w:rFonts w:ascii="Titillium" w:eastAsia="Times New Roman" w:hAnsi="Titillium" w:cs="Times New Roman"/>
                <w:sz w:val="16"/>
                <w:szCs w:val="16"/>
              </w:rPr>
              <w:t xml:space="preserve"> </w:t>
            </w:r>
            <w:r w:rsidR="000617DA" w:rsidRPr="00D31C8C">
              <w:rPr>
                <w:rFonts w:ascii="Titillium" w:eastAsia="Times New Roman" w:hAnsi="Titillium" w:cs="Times New Roman"/>
                <w:sz w:val="16"/>
                <w:szCs w:val="16"/>
              </w:rPr>
              <w:t xml:space="preserve">powierniczy* </w:t>
            </w:r>
          </w:p>
        </w:tc>
        <w:tc>
          <w:tcPr>
            <w:tcW w:w="4819" w:type="dxa"/>
            <w:tcBorders>
              <w:top w:val="single" w:sz="4" w:space="0" w:color="000000"/>
              <w:left w:val="single" w:sz="4" w:space="0" w:color="000000"/>
              <w:bottom w:val="single" w:sz="4" w:space="0" w:color="000000"/>
              <w:right w:val="single" w:sz="4" w:space="0" w:color="000000"/>
            </w:tcBorders>
          </w:tcPr>
          <w:p w14:paraId="3B38FAB4" w14:textId="14EAD478" w:rsidR="000617DA" w:rsidRPr="00033885" w:rsidRDefault="00D94C03" w:rsidP="00794ED2">
            <w:pPr>
              <w:ind w:left="4"/>
              <w:rPr>
                <w:rFonts w:ascii="Titillium" w:hAnsi="Titillium"/>
                <w:strike/>
                <w:sz w:val="16"/>
                <w:szCs w:val="16"/>
              </w:rPr>
            </w:pPr>
            <w:r w:rsidRPr="00033885">
              <w:rPr>
                <w:rFonts w:ascii="Titillium" w:eastAsia="Times New Roman" w:hAnsi="Titillium" w:cs="Times New Roman"/>
                <w:strike/>
                <w:sz w:val="16"/>
                <w:szCs w:val="16"/>
              </w:rPr>
              <w:t>z</w:t>
            </w:r>
            <w:r w:rsidR="000617DA" w:rsidRPr="00033885">
              <w:rPr>
                <w:rFonts w:ascii="Titillium" w:eastAsia="Times New Roman" w:hAnsi="Titillium" w:cs="Times New Roman"/>
                <w:strike/>
                <w:sz w:val="16"/>
                <w:szCs w:val="16"/>
              </w:rPr>
              <w:t xml:space="preserve">amknięty mieszkaniowy rachunek powierniczy* </w:t>
            </w:r>
          </w:p>
        </w:tc>
      </w:tr>
      <w:tr w:rsidR="00794ED2" w:rsidRPr="00D31C8C" w14:paraId="606BFCE4" w14:textId="77777777" w:rsidTr="00794ED2">
        <w:tblPrEx>
          <w:tblCellMar>
            <w:top w:w="167" w:type="dxa"/>
          </w:tblCellMar>
        </w:tblPrEx>
        <w:trPr>
          <w:gridAfter w:val="1"/>
          <w:wAfter w:w="5650" w:type="dxa"/>
          <w:trHeight w:val="390"/>
        </w:trPr>
        <w:tc>
          <w:tcPr>
            <w:tcW w:w="2830" w:type="dxa"/>
            <w:vMerge/>
            <w:tcBorders>
              <w:top w:val="nil"/>
              <w:left w:val="single" w:sz="4" w:space="0" w:color="000000"/>
              <w:bottom w:val="single" w:sz="4" w:space="0" w:color="000000"/>
              <w:right w:val="single" w:sz="4" w:space="0" w:color="000000"/>
            </w:tcBorders>
          </w:tcPr>
          <w:p w14:paraId="758A187E" w14:textId="77777777" w:rsidR="000617DA" w:rsidRPr="00D31C8C" w:rsidRDefault="000617DA" w:rsidP="00794ED2">
            <w:pPr>
              <w:rPr>
                <w:rFonts w:ascii="Titillium" w:hAnsi="Titillium"/>
                <w:sz w:val="16"/>
                <w:szCs w:val="16"/>
              </w:rPr>
            </w:pPr>
          </w:p>
        </w:tc>
        <w:tc>
          <w:tcPr>
            <w:tcW w:w="1985" w:type="dxa"/>
            <w:tcBorders>
              <w:top w:val="single" w:sz="4" w:space="0" w:color="000000"/>
              <w:left w:val="single" w:sz="4" w:space="0" w:color="000000"/>
              <w:bottom w:val="single" w:sz="4" w:space="0" w:color="000000"/>
              <w:right w:val="single" w:sz="4" w:space="0" w:color="000000"/>
            </w:tcBorders>
          </w:tcPr>
          <w:p w14:paraId="4DDAA2E4" w14:textId="77777777" w:rsidR="000617DA" w:rsidRPr="00C46BBE" w:rsidRDefault="000617DA" w:rsidP="00794ED2">
            <w:pPr>
              <w:ind w:left="2" w:right="54"/>
              <w:jc w:val="both"/>
              <w:rPr>
                <w:rFonts w:ascii="Titillium" w:hAnsi="Titillium"/>
                <w:sz w:val="16"/>
                <w:szCs w:val="16"/>
              </w:rPr>
            </w:pPr>
            <w:r w:rsidRPr="00C46BBE">
              <w:rPr>
                <w:rFonts w:ascii="Titillium" w:eastAsia="Times New Roman" w:hAnsi="Titillium" w:cs="Times New Roman"/>
                <w:sz w:val="16"/>
                <w:szCs w:val="16"/>
              </w:rPr>
              <w:t>Wysokość stawki procentowej, według której jest obliczana kwota składki na Deweloperski Fundusz Gwarancyjny</w:t>
            </w:r>
            <w:r w:rsidRPr="00C46BBE">
              <w:rPr>
                <w:rFonts w:ascii="Titillium" w:eastAsia="Times New Roman" w:hAnsi="Titillium" w:cs="Times New Roman"/>
                <w:sz w:val="16"/>
                <w:szCs w:val="16"/>
                <w:vertAlign w:val="superscript"/>
              </w:rPr>
              <w:t>7)</w:t>
            </w:r>
            <w:r w:rsidRPr="00C46BBE">
              <w:rPr>
                <w:rFonts w:ascii="Titillium" w:eastAsia="Times New Roman" w:hAnsi="Titillium" w:cs="Times New Roman"/>
                <w:sz w:val="16"/>
                <w:szCs w:val="16"/>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57A7EE40" w14:textId="4666010B" w:rsidR="000617DA" w:rsidRPr="00994D8A" w:rsidRDefault="000617DA" w:rsidP="00794ED2">
            <w:pPr>
              <w:ind w:left="4"/>
              <w:rPr>
                <w:rFonts w:ascii="Titillium" w:hAnsi="Titillium"/>
                <w:color w:val="FF0000"/>
                <w:sz w:val="16"/>
                <w:szCs w:val="16"/>
              </w:rPr>
            </w:pPr>
            <w:r w:rsidRPr="00994D8A">
              <w:rPr>
                <w:rFonts w:ascii="Titillium" w:eastAsia="Times New Roman" w:hAnsi="Titillium" w:cs="Times New Roman"/>
                <w:color w:val="FF0000"/>
                <w:sz w:val="16"/>
                <w:szCs w:val="16"/>
              </w:rPr>
              <w:t xml:space="preserve"> </w:t>
            </w:r>
            <w:r w:rsidR="00F71FE5" w:rsidRPr="00033885">
              <w:rPr>
                <w:rFonts w:ascii="Titillium" w:eastAsia="Times New Roman" w:hAnsi="Titillium" w:cs="Times New Roman"/>
                <w:sz w:val="16"/>
                <w:szCs w:val="16"/>
              </w:rPr>
              <w:t>0,45%</w:t>
            </w:r>
          </w:p>
        </w:tc>
      </w:tr>
      <w:tr w:rsidR="00F61396" w:rsidRPr="00D31C8C" w14:paraId="64ACB5BC" w14:textId="77777777" w:rsidTr="00D23736">
        <w:tblPrEx>
          <w:tblCellMar>
            <w:top w:w="167" w:type="dxa"/>
          </w:tblCellMar>
        </w:tblPrEx>
        <w:trPr>
          <w:trHeight w:val="532"/>
        </w:trPr>
        <w:tc>
          <w:tcPr>
            <w:tcW w:w="2830" w:type="dxa"/>
            <w:tcBorders>
              <w:top w:val="single" w:sz="4" w:space="0" w:color="000000"/>
              <w:left w:val="single" w:sz="4" w:space="0" w:color="000000"/>
              <w:bottom w:val="single" w:sz="4" w:space="0" w:color="000000"/>
              <w:right w:val="single" w:sz="4" w:space="0" w:color="000000"/>
            </w:tcBorders>
            <w:shd w:val="clear" w:color="auto" w:fill="F3F3F3"/>
          </w:tcPr>
          <w:p w14:paraId="29D1A965" w14:textId="77777777" w:rsidR="00E07DBC" w:rsidRPr="00D31C8C" w:rsidRDefault="00E07DBC" w:rsidP="00794ED2">
            <w:pPr>
              <w:rPr>
                <w:rFonts w:ascii="Titillium" w:hAnsi="Titillium"/>
                <w:sz w:val="16"/>
                <w:szCs w:val="16"/>
              </w:rPr>
            </w:pPr>
            <w:r w:rsidRPr="00D31C8C">
              <w:rPr>
                <w:rFonts w:ascii="Titillium" w:eastAsia="Times New Roman" w:hAnsi="Titillium" w:cs="Times New Roman"/>
                <w:sz w:val="16"/>
                <w:szCs w:val="16"/>
              </w:rPr>
              <w:t xml:space="preserve">Główne zasady funkcjonowania wybranego rodzaju zabezpieczenia środków nabywcy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7D5475D1" w14:textId="77777777" w:rsidR="00D23736" w:rsidRPr="00D23736" w:rsidRDefault="00D23736" w:rsidP="00D23736">
            <w:pPr>
              <w:spacing w:after="123"/>
              <w:ind w:left="2"/>
              <w:jc w:val="both"/>
              <w:rPr>
                <w:rFonts w:ascii="Titillium" w:eastAsia="Times New Roman" w:hAnsi="Titillium" w:cs="Times New Roman"/>
                <w:sz w:val="16"/>
                <w:szCs w:val="16"/>
              </w:rPr>
            </w:pPr>
            <w:r w:rsidRPr="00D23736">
              <w:rPr>
                <w:rFonts w:ascii="Titillium" w:eastAsia="Times New Roman" w:hAnsi="Titillium" w:cs="Times New Roman"/>
                <w:sz w:val="16"/>
                <w:szCs w:val="16"/>
              </w:rPr>
              <w:t>1. Bank dokona wypłaty należnych deweloperowi środków z rachunku, po każdorazowym potwierdzeniu zakończenia realizacji danego etapu przedsięwzięcia deweloperskiego, nie wcześniej jednak niż po 30 dniach od dnia zawarcia umowy, zgodnie z harmonogramem przedsięwzięcia deweloperskiego .</w:t>
            </w:r>
          </w:p>
          <w:p w14:paraId="2C38BB4D" w14:textId="77777777" w:rsidR="00D23736" w:rsidRPr="00D23736" w:rsidRDefault="00D23736" w:rsidP="00D23736">
            <w:pPr>
              <w:spacing w:after="123"/>
              <w:ind w:left="2"/>
              <w:jc w:val="both"/>
              <w:rPr>
                <w:rFonts w:ascii="Titillium" w:eastAsia="Times New Roman" w:hAnsi="Titillium" w:cs="Times New Roman"/>
                <w:sz w:val="16"/>
                <w:szCs w:val="16"/>
              </w:rPr>
            </w:pPr>
            <w:r w:rsidRPr="00D23736">
              <w:rPr>
                <w:rFonts w:ascii="Titillium" w:eastAsia="Times New Roman" w:hAnsi="Titillium" w:cs="Times New Roman"/>
                <w:sz w:val="16"/>
                <w:szCs w:val="16"/>
              </w:rPr>
              <w:t>2. Kwota środków wypłacona deweloperowi, za zrealizowany etap  przedsięwzięcia deweloperskiego, musi być zgodna z procentowym udziałem danego etapu przedsięwzięcia deweloperskiego w ogólnych kosztach przedsięwzięcia deweloperskiego określonego w harmonogramie i stanowi sumę przysługujących deweloperowi wypłat od  nabywców dokonanych zgodnie z algorytmem określonym w ust. 3.</w:t>
            </w:r>
          </w:p>
          <w:p w14:paraId="177653DD" w14:textId="77777777" w:rsidR="00D23736" w:rsidRPr="00D23736" w:rsidRDefault="00D23736" w:rsidP="00D23736">
            <w:pPr>
              <w:spacing w:after="123"/>
              <w:ind w:left="2"/>
              <w:jc w:val="both"/>
              <w:rPr>
                <w:rFonts w:ascii="Titillium" w:eastAsia="Times New Roman" w:hAnsi="Titillium" w:cs="Times New Roman"/>
                <w:sz w:val="16"/>
                <w:szCs w:val="16"/>
              </w:rPr>
            </w:pPr>
            <w:r w:rsidRPr="00D23736">
              <w:rPr>
                <w:rFonts w:ascii="Titillium" w:eastAsia="Times New Roman" w:hAnsi="Titillium" w:cs="Times New Roman"/>
                <w:sz w:val="16"/>
                <w:szCs w:val="16"/>
              </w:rPr>
              <w:t>3. Kwota wypłaty środków pieniężnych zaewidencjonowanych dla pojedynczego nabywcy na koncie ewidencyjnym, za dany zrealizowany etap przedsięwzięcia deweloperskiego, stanowi iloczyn udziału procentowego danego etapu zrealizowanego przedsięwzięcia deweloperskiego  w ogólnych kosztach realizacji przedsięwzięcia deweloperskiego  i ceny nabycia lokalu mieszkalnego.</w:t>
            </w:r>
          </w:p>
          <w:p w14:paraId="317C056D" w14:textId="77777777" w:rsidR="00D23736" w:rsidRPr="00D23736" w:rsidRDefault="00D23736" w:rsidP="00D23736">
            <w:pPr>
              <w:spacing w:after="123"/>
              <w:ind w:left="2"/>
              <w:jc w:val="both"/>
              <w:rPr>
                <w:rFonts w:ascii="Titillium" w:eastAsia="Times New Roman" w:hAnsi="Titillium" w:cs="Times New Roman"/>
                <w:sz w:val="16"/>
                <w:szCs w:val="16"/>
              </w:rPr>
            </w:pPr>
            <w:r w:rsidRPr="00D23736">
              <w:rPr>
                <w:rFonts w:ascii="Titillium" w:eastAsia="Times New Roman" w:hAnsi="Titillium" w:cs="Times New Roman"/>
                <w:sz w:val="16"/>
                <w:szCs w:val="16"/>
              </w:rPr>
              <w:t>4. W celu realizacji przez Bank wypłaty środków z rachunku deweloper składa w placówce Banku prowadzącej rachunek dyspozycję wypłaty będącą jednocześnie oświadczeniem o spełnieniu warunków umowy, o braku podstaw do wstrzymania wypłaty oraz o niezaleganiu z rozliczeniami z głównym wykonawcą oraz podwykonawcami, na formularzu obowiązującym w Banku. W przypadku zakończenia ostatniego etapu przedsięwzięcia deweloperskiego, Bank wypłaca deweloperowi środki z rachunku po otrzymaniu wypisu aktu notarialnego umowy przenoszącej na nabywcę prawa wynikające z umowy, w stanie wolnym od obciążeń, praw i roszczeń osób trzecich, z wyjątkiem obciążeń, na które wyraził zgodę nabywca.</w:t>
            </w:r>
          </w:p>
          <w:p w14:paraId="13D8B6F2" w14:textId="7DE8ECA7" w:rsidR="0096588C" w:rsidRPr="00937FE0" w:rsidRDefault="00D23736" w:rsidP="00D23736">
            <w:pPr>
              <w:spacing w:after="123"/>
              <w:ind w:left="2"/>
              <w:jc w:val="both"/>
              <w:rPr>
                <w:rFonts w:ascii="Titillium" w:hAnsi="Titillium"/>
                <w:sz w:val="16"/>
                <w:szCs w:val="16"/>
              </w:rPr>
            </w:pPr>
            <w:r w:rsidRPr="00D23736">
              <w:rPr>
                <w:rFonts w:ascii="Titillium" w:eastAsia="Times New Roman" w:hAnsi="Titillium" w:cs="Times New Roman"/>
                <w:sz w:val="16"/>
                <w:szCs w:val="16"/>
              </w:rPr>
              <w:t xml:space="preserve">5. Przed wypłatą środków Bank dokonuje kontroli realizacji poszczególnych etapów przedsięwzięcia deweloperskiego ujętych w harmonogramie przedsięwzięcia deweloperskiego; kontrola obejmuje co najmniej zakres określony w art. 17 ustawy, w tym sprawdzenie dokumentacji związanej z realizacją  </w:t>
            </w:r>
            <w:r w:rsidRPr="00D23736">
              <w:rPr>
                <w:rFonts w:ascii="Titillium" w:eastAsia="Times New Roman" w:hAnsi="Titillium" w:cs="Times New Roman"/>
                <w:sz w:val="16"/>
                <w:szCs w:val="16"/>
              </w:rPr>
              <w:lastRenderedPageBreak/>
              <w:t>przedsięwzięcia deweloperskiego oraz ocenę stanu faktycznego i dokonywana jest przez podmiot zewnętrzny, z którym Bank podpisał umowę o współpracy.</w:t>
            </w:r>
          </w:p>
        </w:tc>
        <w:tc>
          <w:tcPr>
            <w:tcW w:w="5650" w:type="dxa"/>
          </w:tcPr>
          <w:p w14:paraId="7BEF2053" w14:textId="7D9BCDB0" w:rsidR="00F61396" w:rsidRPr="00D31C8C" w:rsidRDefault="00F61396" w:rsidP="00794ED2"/>
        </w:tc>
      </w:tr>
      <w:tr w:rsidR="00794ED2" w:rsidRPr="00D31C8C" w14:paraId="065AD55E" w14:textId="77777777" w:rsidTr="00794ED2">
        <w:tblPrEx>
          <w:tblCellMar>
            <w:top w:w="167" w:type="dxa"/>
          </w:tblCellMar>
        </w:tblPrEx>
        <w:trPr>
          <w:gridAfter w:val="1"/>
          <w:wAfter w:w="5650" w:type="dxa"/>
          <w:trHeight w:val="530"/>
        </w:trPr>
        <w:tc>
          <w:tcPr>
            <w:tcW w:w="2830" w:type="dxa"/>
            <w:tcBorders>
              <w:top w:val="single" w:sz="4" w:space="0" w:color="000000"/>
              <w:left w:val="single" w:sz="4" w:space="0" w:color="000000"/>
              <w:bottom w:val="single" w:sz="4" w:space="0" w:color="000000"/>
              <w:right w:val="single" w:sz="4" w:space="0" w:color="000000"/>
            </w:tcBorders>
            <w:shd w:val="clear" w:color="auto" w:fill="F3F3F3"/>
          </w:tcPr>
          <w:p w14:paraId="1FB81C1F" w14:textId="77777777" w:rsidR="000617DA" w:rsidRPr="00D31C8C" w:rsidRDefault="000617DA" w:rsidP="00794ED2">
            <w:pPr>
              <w:rPr>
                <w:rFonts w:ascii="Titillium" w:hAnsi="Titillium"/>
                <w:sz w:val="16"/>
                <w:szCs w:val="16"/>
              </w:rPr>
            </w:pPr>
            <w:r w:rsidRPr="00D31C8C">
              <w:rPr>
                <w:rFonts w:ascii="Titillium" w:eastAsia="Times New Roman" w:hAnsi="Titillium" w:cs="Times New Roman"/>
                <w:sz w:val="16"/>
                <w:szCs w:val="16"/>
              </w:rPr>
              <w:t xml:space="preserve">Nazwa instytucji zapewniającej bezpieczeństwo środków nabywcy </w:t>
            </w:r>
          </w:p>
        </w:tc>
        <w:tc>
          <w:tcPr>
            <w:tcW w:w="1985" w:type="dxa"/>
            <w:tcBorders>
              <w:top w:val="single" w:sz="4" w:space="0" w:color="000000"/>
              <w:left w:val="single" w:sz="4" w:space="0" w:color="000000"/>
              <w:bottom w:val="single" w:sz="4" w:space="0" w:color="000000"/>
              <w:right w:val="nil"/>
            </w:tcBorders>
          </w:tcPr>
          <w:p w14:paraId="6F7E9F0C" w14:textId="09A0A3BE" w:rsidR="000D34AF" w:rsidRPr="00142902" w:rsidRDefault="000D34AF" w:rsidP="00794ED2">
            <w:pPr>
              <w:ind w:left="2"/>
              <w:rPr>
                <w:rFonts w:ascii="Titillium" w:eastAsia="Times New Roman" w:hAnsi="Titillium" w:cs="Times New Roman"/>
                <w:sz w:val="16"/>
                <w:szCs w:val="16"/>
              </w:rPr>
            </w:pPr>
            <w:r w:rsidRPr="00142902">
              <w:rPr>
                <w:rFonts w:ascii="Titillium" w:eastAsia="Times New Roman" w:hAnsi="Titillium" w:cs="Times New Roman"/>
                <w:sz w:val="16"/>
                <w:szCs w:val="16"/>
              </w:rPr>
              <w:t>Bank Spółdzielczy w</w:t>
            </w:r>
            <w:r w:rsidR="00973A44">
              <w:rPr>
                <w:rFonts w:ascii="Titillium" w:eastAsia="Times New Roman" w:hAnsi="Titillium" w:cs="Times New Roman"/>
                <w:sz w:val="16"/>
                <w:szCs w:val="16"/>
              </w:rPr>
              <w:t xml:space="preserve"> </w:t>
            </w:r>
            <w:r w:rsidRPr="00142902">
              <w:rPr>
                <w:rFonts w:ascii="Titillium" w:eastAsia="Times New Roman" w:hAnsi="Titillium" w:cs="Times New Roman"/>
                <w:sz w:val="16"/>
                <w:szCs w:val="16"/>
              </w:rPr>
              <w:t>Białymstoku,</w:t>
            </w:r>
          </w:p>
          <w:p w14:paraId="334E3220" w14:textId="77777777" w:rsidR="00587B1E" w:rsidRDefault="000D34AF" w:rsidP="00794ED2">
            <w:pPr>
              <w:ind w:left="2"/>
              <w:rPr>
                <w:rFonts w:ascii="Titillium" w:eastAsia="Times New Roman" w:hAnsi="Titillium" w:cs="Times New Roman"/>
                <w:sz w:val="16"/>
                <w:szCs w:val="16"/>
              </w:rPr>
            </w:pPr>
            <w:r w:rsidRPr="00142902">
              <w:rPr>
                <w:rFonts w:ascii="Titillium" w:eastAsia="Times New Roman" w:hAnsi="Titillium" w:cs="Times New Roman"/>
                <w:sz w:val="16"/>
                <w:szCs w:val="16"/>
              </w:rPr>
              <w:t>ul. L. Zamenhofa 4,</w:t>
            </w:r>
          </w:p>
          <w:p w14:paraId="751B906C" w14:textId="59E5B5B0" w:rsidR="000617DA" w:rsidRPr="00994D8A" w:rsidRDefault="000D34AF" w:rsidP="00794ED2">
            <w:pPr>
              <w:ind w:left="2"/>
              <w:rPr>
                <w:rFonts w:ascii="Titillium" w:hAnsi="Titillium"/>
                <w:color w:val="FF0000"/>
                <w:sz w:val="16"/>
                <w:szCs w:val="16"/>
              </w:rPr>
            </w:pPr>
            <w:r w:rsidRPr="00142902">
              <w:rPr>
                <w:rFonts w:ascii="Titillium" w:eastAsia="Times New Roman" w:hAnsi="Titillium" w:cs="Times New Roman"/>
                <w:sz w:val="16"/>
                <w:szCs w:val="16"/>
              </w:rPr>
              <w:t>15-435</w:t>
            </w:r>
            <w:r w:rsidR="00973A44">
              <w:rPr>
                <w:rFonts w:ascii="Titillium" w:eastAsia="Times New Roman" w:hAnsi="Titillium" w:cs="Times New Roman"/>
                <w:sz w:val="16"/>
                <w:szCs w:val="16"/>
              </w:rPr>
              <w:t xml:space="preserve"> </w:t>
            </w:r>
            <w:r w:rsidRPr="00142902">
              <w:rPr>
                <w:rFonts w:ascii="Titillium" w:eastAsia="Times New Roman" w:hAnsi="Titillium" w:cs="Times New Roman"/>
                <w:sz w:val="16"/>
                <w:szCs w:val="16"/>
              </w:rPr>
              <w:t>Białystok</w:t>
            </w:r>
          </w:p>
        </w:tc>
        <w:tc>
          <w:tcPr>
            <w:tcW w:w="4819" w:type="dxa"/>
            <w:tcBorders>
              <w:top w:val="single" w:sz="4" w:space="0" w:color="000000"/>
              <w:left w:val="nil"/>
              <w:bottom w:val="single" w:sz="4" w:space="0" w:color="000000"/>
              <w:right w:val="single" w:sz="4" w:space="0" w:color="000000"/>
            </w:tcBorders>
          </w:tcPr>
          <w:p w14:paraId="3D808428" w14:textId="77777777" w:rsidR="000617DA" w:rsidRPr="00994D8A" w:rsidRDefault="000617DA" w:rsidP="00794ED2">
            <w:pPr>
              <w:rPr>
                <w:rFonts w:ascii="Titillium" w:hAnsi="Titillium"/>
                <w:color w:val="FF0000"/>
                <w:sz w:val="16"/>
                <w:szCs w:val="16"/>
              </w:rPr>
            </w:pPr>
          </w:p>
        </w:tc>
      </w:tr>
      <w:tr w:rsidR="00F61396" w:rsidRPr="00D31C8C" w14:paraId="1774558A" w14:textId="77777777" w:rsidTr="00794ED2">
        <w:tblPrEx>
          <w:tblCellMar>
            <w:top w:w="167" w:type="dxa"/>
          </w:tblCellMar>
        </w:tblPrEx>
        <w:trPr>
          <w:gridAfter w:val="1"/>
          <w:wAfter w:w="5650" w:type="dxa"/>
          <w:cantSplit/>
          <w:trHeight w:val="988"/>
        </w:trPr>
        <w:tc>
          <w:tcPr>
            <w:tcW w:w="283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B81AAA" w14:textId="77777777" w:rsidR="00951BA9" w:rsidRPr="00D31C8C" w:rsidRDefault="00951BA9" w:rsidP="00794ED2">
            <w:pPr>
              <w:rPr>
                <w:rFonts w:ascii="Titillium" w:hAnsi="Titillium"/>
                <w:sz w:val="16"/>
                <w:szCs w:val="16"/>
              </w:rPr>
            </w:pPr>
            <w:r w:rsidRPr="00D31C8C">
              <w:rPr>
                <w:rFonts w:ascii="Titillium" w:eastAsia="Times New Roman" w:hAnsi="Titillium" w:cs="Times New Roman"/>
                <w:sz w:val="16"/>
                <w:szCs w:val="16"/>
              </w:rPr>
              <w:t xml:space="preserve">Harmonogram przedsięwzięcia deweloperskiego lub zadania inwestycyjnego </w:t>
            </w:r>
          </w:p>
        </w:tc>
        <w:tc>
          <w:tcPr>
            <w:tcW w:w="6804" w:type="dxa"/>
            <w:gridSpan w:val="2"/>
            <w:tcBorders>
              <w:top w:val="single" w:sz="4" w:space="0" w:color="000000"/>
              <w:left w:val="single" w:sz="4" w:space="0" w:color="000000"/>
              <w:bottom w:val="single" w:sz="4" w:space="0" w:color="000000"/>
              <w:right w:val="single" w:sz="4" w:space="0" w:color="000000"/>
            </w:tcBorders>
          </w:tcPr>
          <w:p w14:paraId="59D4BA4C" w14:textId="739F888D" w:rsidR="00951BA9" w:rsidRPr="0021793B" w:rsidRDefault="00951BA9" w:rsidP="00794ED2">
            <w:pPr>
              <w:ind w:left="2"/>
              <w:jc w:val="both"/>
              <w:rPr>
                <w:rFonts w:ascii="Titillium" w:eastAsia="Times New Roman" w:hAnsi="Titillium" w:cs="Times New Roman"/>
                <w:sz w:val="16"/>
                <w:szCs w:val="16"/>
              </w:rPr>
            </w:pPr>
            <w:r w:rsidRPr="0021793B">
              <w:rPr>
                <w:rFonts w:ascii="Titillium" w:eastAsia="Times New Roman" w:hAnsi="Titillium" w:cs="Times New Roman"/>
                <w:sz w:val="16"/>
                <w:szCs w:val="16"/>
              </w:rPr>
              <w:t xml:space="preserve">Etap I do </w:t>
            </w:r>
            <w:r w:rsidR="006F0AB8">
              <w:rPr>
                <w:rFonts w:ascii="Titillium" w:eastAsia="Times New Roman" w:hAnsi="Titillium" w:cs="Times New Roman"/>
                <w:sz w:val="16"/>
                <w:szCs w:val="16"/>
              </w:rPr>
              <w:t>28</w:t>
            </w:r>
            <w:r w:rsidRPr="0021793B">
              <w:rPr>
                <w:rFonts w:ascii="Titillium" w:eastAsia="Times New Roman" w:hAnsi="Titillium" w:cs="Times New Roman"/>
                <w:sz w:val="16"/>
                <w:szCs w:val="16"/>
              </w:rPr>
              <w:t>.</w:t>
            </w:r>
            <w:r w:rsidR="007D2E3E" w:rsidRPr="0021793B">
              <w:rPr>
                <w:rFonts w:ascii="Titillium" w:eastAsia="Times New Roman" w:hAnsi="Titillium" w:cs="Times New Roman"/>
                <w:sz w:val="16"/>
                <w:szCs w:val="16"/>
              </w:rPr>
              <w:t>0</w:t>
            </w:r>
            <w:r w:rsidR="006F0AB8">
              <w:rPr>
                <w:rFonts w:ascii="Titillium" w:eastAsia="Times New Roman" w:hAnsi="Titillium" w:cs="Times New Roman"/>
                <w:sz w:val="16"/>
                <w:szCs w:val="16"/>
              </w:rPr>
              <w:t>2</w:t>
            </w:r>
            <w:r w:rsidRPr="0021793B">
              <w:rPr>
                <w:rFonts w:ascii="Titillium" w:eastAsia="Times New Roman" w:hAnsi="Titillium" w:cs="Times New Roman"/>
                <w:sz w:val="16"/>
                <w:szCs w:val="16"/>
              </w:rPr>
              <w:t>.202</w:t>
            </w:r>
            <w:r w:rsidR="001379D7" w:rsidRPr="0021793B">
              <w:rPr>
                <w:rFonts w:ascii="Titillium" w:eastAsia="Times New Roman" w:hAnsi="Titillium" w:cs="Times New Roman"/>
                <w:sz w:val="16"/>
                <w:szCs w:val="16"/>
              </w:rPr>
              <w:t>5</w:t>
            </w:r>
            <w:r w:rsidRPr="0021793B">
              <w:rPr>
                <w:rFonts w:ascii="Titillium" w:eastAsia="Times New Roman" w:hAnsi="Titillium" w:cs="Times New Roman"/>
                <w:sz w:val="16"/>
                <w:szCs w:val="16"/>
              </w:rPr>
              <w:t xml:space="preserve">r. </w:t>
            </w:r>
            <w:r w:rsidR="00376405" w:rsidRPr="0021793B">
              <w:rPr>
                <w:rFonts w:ascii="Titillium" w:eastAsia="Times New Roman" w:hAnsi="Titillium" w:cs="Times New Roman"/>
                <w:sz w:val="16"/>
                <w:szCs w:val="16"/>
              </w:rPr>
              <w:t>– 2</w:t>
            </w:r>
            <w:r w:rsidR="006F0AB8">
              <w:rPr>
                <w:rFonts w:ascii="Titillium" w:eastAsia="Times New Roman" w:hAnsi="Titillium" w:cs="Times New Roman"/>
                <w:sz w:val="16"/>
                <w:szCs w:val="16"/>
              </w:rPr>
              <w:t>0</w:t>
            </w:r>
            <w:r w:rsidR="00376405" w:rsidRPr="0021793B">
              <w:rPr>
                <w:rFonts w:ascii="Titillium" w:eastAsia="Times New Roman" w:hAnsi="Titillium" w:cs="Times New Roman"/>
                <w:sz w:val="16"/>
                <w:szCs w:val="16"/>
              </w:rPr>
              <w:t>%</w:t>
            </w:r>
          </w:p>
          <w:p w14:paraId="17823179" w14:textId="73A1A1AC" w:rsidR="00951BA9" w:rsidRPr="006F0AB8" w:rsidRDefault="00951BA9" w:rsidP="00794ED2">
            <w:pPr>
              <w:ind w:left="2"/>
              <w:jc w:val="both"/>
              <w:rPr>
                <w:rFonts w:ascii="Titillium" w:eastAsia="Times New Roman" w:hAnsi="Titillium" w:cs="Times New Roman"/>
                <w:sz w:val="16"/>
                <w:szCs w:val="16"/>
              </w:rPr>
            </w:pPr>
            <w:r w:rsidRPr="006F0AB8">
              <w:rPr>
                <w:rFonts w:ascii="Titillium" w:eastAsia="Times New Roman" w:hAnsi="Titillium" w:cs="Times New Roman"/>
                <w:sz w:val="16"/>
                <w:szCs w:val="16"/>
              </w:rPr>
              <w:t xml:space="preserve">1) przygotowanie inwestycji, zakup gruntu 100%; </w:t>
            </w:r>
          </w:p>
          <w:p w14:paraId="22CC5DCC" w14:textId="0C52AC1C" w:rsidR="00BE560C" w:rsidRPr="006F0AB8" w:rsidRDefault="00951BA9" w:rsidP="00794ED2">
            <w:pPr>
              <w:ind w:left="2"/>
              <w:jc w:val="both"/>
              <w:rPr>
                <w:rFonts w:ascii="Titillium" w:eastAsia="Times New Roman" w:hAnsi="Titillium" w:cs="Times New Roman"/>
                <w:sz w:val="16"/>
                <w:szCs w:val="16"/>
              </w:rPr>
            </w:pPr>
            <w:r w:rsidRPr="006F0AB8">
              <w:rPr>
                <w:rFonts w:ascii="Titillium" w:eastAsia="Times New Roman" w:hAnsi="Titillium" w:cs="Times New Roman"/>
                <w:sz w:val="16"/>
                <w:szCs w:val="16"/>
              </w:rPr>
              <w:t xml:space="preserve">Etap II  do </w:t>
            </w:r>
            <w:r w:rsidR="007D2E3E" w:rsidRPr="006F0AB8">
              <w:rPr>
                <w:rFonts w:ascii="Titillium" w:eastAsia="Times New Roman" w:hAnsi="Titillium" w:cs="Times New Roman"/>
                <w:sz w:val="16"/>
                <w:szCs w:val="16"/>
              </w:rPr>
              <w:t>31</w:t>
            </w:r>
            <w:r w:rsidRPr="006F0AB8">
              <w:rPr>
                <w:rFonts w:ascii="Titillium" w:eastAsia="Times New Roman" w:hAnsi="Titillium" w:cs="Times New Roman"/>
                <w:sz w:val="16"/>
                <w:szCs w:val="16"/>
              </w:rPr>
              <w:t>.</w:t>
            </w:r>
            <w:r w:rsidR="001379D7" w:rsidRPr="006F0AB8">
              <w:rPr>
                <w:rFonts w:ascii="Titillium" w:eastAsia="Times New Roman" w:hAnsi="Titillium" w:cs="Times New Roman"/>
                <w:sz w:val="16"/>
                <w:szCs w:val="16"/>
              </w:rPr>
              <w:t>07</w:t>
            </w:r>
            <w:r w:rsidRPr="006F0AB8">
              <w:rPr>
                <w:rFonts w:ascii="Titillium" w:eastAsia="Times New Roman" w:hAnsi="Titillium" w:cs="Times New Roman"/>
                <w:sz w:val="16"/>
                <w:szCs w:val="16"/>
              </w:rPr>
              <w:t>.202</w:t>
            </w:r>
            <w:r w:rsidR="001379D7" w:rsidRPr="006F0AB8">
              <w:rPr>
                <w:rFonts w:ascii="Titillium" w:eastAsia="Times New Roman" w:hAnsi="Titillium" w:cs="Times New Roman"/>
                <w:sz w:val="16"/>
                <w:szCs w:val="16"/>
              </w:rPr>
              <w:t>5</w:t>
            </w:r>
            <w:r w:rsidRPr="006F0AB8">
              <w:rPr>
                <w:rFonts w:ascii="Titillium" w:eastAsia="Times New Roman" w:hAnsi="Titillium" w:cs="Times New Roman"/>
                <w:sz w:val="16"/>
                <w:szCs w:val="16"/>
              </w:rPr>
              <w:t xml:space="preserve">r. </w:t>
            </w:r>
            <w:r w:rsidR="00376405" w:rsidRPr="006F0AB8">
              <w:rPr>
                <w:rFonts w:ascii="Titillium" w:eastAsia="Times New Roman" w:hAnsi="Titillium" w:cs="Times New Roman"/>
                <w:sz w:val="16"/>
                <w:szCs w:val="16"/>
              </w:rPr>
              <w:t>– 2</w:t>
            </w:r>
            <w:r w:rsidR="006F0AB8" w:rsidRPr="006F0AB8">
              <w:rPr>
                <w:rFonts w:ascii="Titillium" w:eastAsia="Times New Roman" w:hAnsi="Titillium" w:cs="Times New Roman"/>
                <w:sz w:val="16"/>
                <w:szCs w:val="16"/>
              </w:rPr>
              <w:t>0</w:t>
            </w:r>
            <w:r w:rsidR="00376405" w:rsidRPr="006F0AB8">
              <w:rPr>
                <w:rFonts w:ascii="Titillium" w:eastAsia="Times New Roman" w:hAnsi="Titillium" w:cs="Times New Roman"/>
                <w:sz w:val="16"/>
                <w:szCs w:val="16"/>
              </w:rPr>
              <w:t>%</w:t>
            </w:r>
          </w:p>
          <w:p w14:paraId="749A43AD" w14:textId="460EE193" w:rsidR="00951BA9" w:rsidRPr="006F0AB8" w:rsidRDefault="00BE560C" w:rsidP="00794ED2">
            <w:pPr>
              <w:jc w:val="both"/>
              <w:rPr>
                <w:rFonts w:ascii="Titillium" w:eastAsia="Times New Roman" w:hAnsi="Titillium" w:cs="Times New Roman"/>
                <w:sz w:val="16"/>
                <w:szCs w:val="16"/>
              </w:rPr>
            </w:pPr>
            <w:r w:rsidRPr="006F0AB8">
              <w:rPr>
                <w:rFonts w:ascii="Titillium" w:eastAsia="Times New Roman" w:hAnsi="Titillium" w:cs="Times New Roman"/>
                <w:sz w:val="16"/>
                <w:szCs w:val="16"/>
              </w:rPr>
              <w:t>1)</w:t>
            </w:r>
            <w:r w:rsidR="00BD2AE2" w:rsidRPr="006F0AB8">
              <w:rPr>
                <w:rFonts w:ascii="Titillium" w:eastAsia="Times New Roman" w:hAnsi="Titillium" w:cs="Times New Roman"/>
                <w:sz w:val="16"/>
                <w:szCs w:val="16"/>
              </w:rPr>
              <w:t xml:space="preserve"> </w:t>
            </w:r>
            <w:r w:rsidR="001379D7" w:rsidRPr="006F0AB8">
              <w:rPr>
                <w:rFonts w:ascii="Titillium" w:eastAsia="Times New Roman" w:hAnsi="Titillium" w:cs="Times New Roman"/>
                <w:sz w:val="16"/>
                <w:szCs w:val="16"/>
              </w:rPr>
              <w:t xml:space="preserve">roboty ziemne </w:t>
            </w:r>
            <w:r w:rsidR="006F0AB8" w:rsidRPr="006F0AB8">
              <w:rPr>
                <w:rFonts w:ascii="Titillium" w:eastAsia="Times New Roman" w:hAnsi="Titillium" w:cs="Times New Roman"/>
                <w:sz w:val="16"/>
                <w:szCs w:val="16"/>
              </w:rPr>
              <w:t>9</w:t>
            </w:r>
            <w:r w:rsidR="001379D7" w:rsidRPr="006F0AB8">
              <w:rPr>
                <w:rFonts w:ascii="Titillium" w:eastAsia="Times New Roman" w:hAnsi="Titillium" w:cs="Times New Roman"/>
                <w:sz w:val="16"/>
                <w:szCs w:val="16"/>
              </w:rPr>
              <w:t xml:space="preserve">0%; 2) </w:t>
            </w:r>
            <w:r w:rsidR="00951BA9" w:rsidRPr="006F0AB8">
              <w:rPr>
                <w:rFonts w:ascii="Titillium" w:eastAsia="Times New Roman" w:hAnsi="Titillium" w:cs="Times New Roman"/>
                <w:sz w:val="16"/>
                <w:szCs w:val="16"/>
              </w:rPr>
              <w:t xml:space="preserve">fundamenty 100%; </w:t>
            </w:r>
          </w:p>
          <w:p w14:paraId="6BDE519B" w14:textId="75429239" w:rsidR="00BE560C" w:rsidRPr="006F0AB8" w:rsidRDefault="00951BA9" w:rsidP="00794ED2">
            <w:pPr>
              <w:ind w:left="2"/>
              <w:jc w:val="both"/>
              <w:rPr>
                <w:rFonts w:ascii="Titillium" w:eastAsia="Times New Roman" w:hAnsi="Titillium" w:cs="Times New Roman"/>
                <w:sz w:val="16"/>
                <w:szCs w:val="16"/>
              </w:rPr>
            </w:pPr>
            <w:r w:rsidRPr="006F0AB8">
              <w:rPr>
                <w:rFonts w:ascii="Titillium" w:eastAsia="Times New Roman" w:hAnsi="Titillium" w:cs="Times New Roman"/>
                <w:sz w:val="16"/>
                <w:szCs w:val="16"/>
              </w:rPr>
              <w:t>Etap III do 3</w:t>
            </w:r>
            <w:r w:rsidR="006F0AB8" w:rsidRPr="006F0AB8">
              <w:rPr>
                <w:rFonts w:ascii="Titillium" w:eastAsia="Times New Roman" w:hAnsi="Titillium" w:cs="Times New Roman"/>
                <w:sz w:val="16"/>
                <w:szCs w:val="16"/>
              </w:rPr>
              <w:t>0</w:t>
            </w:r>
            <w:r w:rsidRPr="006F0AB8">
              <w:rPr>
                <w:rFonts w:ascii="Titillium" w:eastAsia="Times New Roman" w:hAnsi="Titillium" w:cs="Times New Roman"/>
                <w:sz w:val="16"/>
                <w:szCs w:val="16"/>
              </w:rPr>
              <w:t>.</w:t>
            </w:r>
            <w:r w:rsidR="001379D7" w:rsidRPr="006F0AB8">
              <w:rPr>
                <w:rFonts w:ascii="Titillium" w:eastAsia="Times New Roman" w:hAnsi="Titillium" w:cs="Times New Roman"/>
                <w:sz w:val="16"/>
                <w:szCs w:val="16"/>
              </w:rPr>
              <w:t>1</w:t>
            </w:r>
            <w:r w:rsidR="006F0AB8" w:rsidRPr="006F0AB8">
              <w:rPr>
                <w:rFonts w:ascii="Titillium" w:eastAsia="Times New Roman" w:hAnsi="Titillium" w:cs="Times New Roman"/>
                <w:sz w:val="16"/>
                <w:szCs w:val="16"/>
              </w:rPr>
              <w:t>1</w:t>
            </w:r>
            <w:r w:rsidRPr="006F0AB8">
              <w:rPr>
                <w:rFonts w:ascii="Titillium" w:eastAsia="Times New Roman" w:hAnsi="Titillium" w:cs="Times New Roman"/>
                <w:sz w:val="16"/>
                <w:szCs w:val="16"/>
              </w:rPr>
              <w:t>.202</w:t>
            </w:r>
            <w:r w:rsidR="007D2E3E" w:rsidRPr="006F0AB8">
              <w:rPr>
                <w:rFonts w:ascii="Titillium" w:eastAsia="Times New Roman" w:hAnsi="Titillium" w:cs="Times New Roman"/>
                <w:sz w:val="16"/>
                <w:szCs w:val="16"/>
              </w:rPr>
              <w:t>5</w:t>
            </w:r>
            <w:r w:rsidRPr="006F0AB8">
              <w:rPr>
                <w:rFonts w:ascii="Titillium" w:eastAsia="Times New Roman" w:hAnsi="Titillium" w:cs="Times New Roman"/>
                <w:sz w:val="16"/>
                <w:szCs w:val="16"/>
              </w:rPr>
              <w:t>r.</w:t>
            </w:r>
            <w:r w:rsidR="00376405" w:rsidRPr="006F0AB8">
              <w:rPr>
                <w:rFonts w:ascii="Titillium" w:eastAsia="Times New Roman" w:hAnsi="Titillium" w:cs="Times New Roman"/>
                <w:sz w:val="16"/>
                <w:szCs w:val="16"/>
              </w:rPr>
              <w:t xml:space="preserve"> – 20%</w:t>
            </w:r>
          </w:p>
          <w:p w14:paraId="43D221AC" w14:textId="254F3915" w:rsidR="00951BA9" w:rsidRPr="006F0AB8" w:rsidRDefault="006F0AB8" w:rsidP="00794ED2">
            <w:pPr>
              <w:ind w:left="2"/>
              <w:jc w:val="both"/>
              <w:rPr>
                <w:rFonts w:ascii="Titillium" w:eastAsia="Times New Roman" w:hAnsi="Titillium" w:cs="Times New Roman"/>
                <w:sz w:val="16"/>
                <w:szCs w:val="16"/>
              </w:rPr>
            </w:pPr>
            <w:r w:rsidRPr="006F0AB8">
              <w:rPr>
                <w:rFonts w:ascii="Titillium" w:eastAsia="Times New Roman" w:hAnsi="Titillium" w:cs="Times New Roman"/>
                <w:sz w:val="16"/>
                <w:szCs w:val="16"/>
              </w:rPr>
              <w:t xml:space="preserve">1) roboty ziemne 100%; 2) </w:t>
            </w:r>
            <w:r w:rsidR="00951BA9" w:rsidRPr="006F0AB8">
              <w:rPr>
                <w:rFonts w:ascii="Titillium" w:eastAsia="Times New Roman" w:hAnsi="Titillium" w:cs="Times New Roman"/>
                <w:sz w:val="16"/>
                <w:szCs w:val="16"/>
              </w:rPr>
              <w:t xml:space="preserve">stan surowy </w:t>
            </w:r>
            <w:r w:rsidRPr="006F0AB8">
              <w:rPr>
                <w:rFonts w:ascii="Titillium" w:eastAsia="Times New Roman" w:hAnsi="Titillium" w:cs="Times New Roman"/>
                <w:sz w:val="16"/>
                <w:szCs w:val="16"/>
              </w:rPr>
              <w:t>4</w:t>
            </w:r>
            <w:r w:rsidR="00951BA9" w:rsidRPr="006F0AB8">
              <w:rPr>
                <w:rFonts w:ascii="Titillium" w:eastAsia="Times New Roman" w:hAnsi="Titillium" w:cs="Times New Roman"/>
                <w:sz w:val="16"/>
                <w:szCs w:val="16"/>
              </w:rPr>
              <w:t xml:space="preserve">0%; </w:t>
            </w:r>
          </w:p>
          <w:p w14:paraId="261B295A" w14:textId="1B6DDB2B" w:rsidR="00951BA9" w:rsidRPr="006F0AB8" w:rsidRDefault="00951BA9" w:rsidP="00794ED2">
            <w:pPr>
              <w:ind w:left="2"/>
              <w:jc w:val="both"/>
              <w:rPr>
                <w:rFonts w:ascii="Titillium" w:eastAsia="Times New Roman" w:hAnsi="Titillium" w:cs="Times New Roman"/>
                <w:sz w:val="16"/>
                <w:szCs w:val="16"/>
              </w:rPr>
            </w:pPr>
            <w:r w:rsidRPr="006F0AB8">
              <w:rPr>
                <w:rFonts w:ascii="Titillium" w:eastAsia="Times New Roman" w:hAnsi="Titillium" w:cs="Times New Roman"/>
                <w:sz w:val="16"/>
                <w:szCs w:val="16"/>
              </w:rPr>
              <w:t>Etap IV do 3</w:t>
            </w:r>
            <w:r w:rsidR="001379D7" w:rsidRPr="006F0AB8">
              <w:rPr>
                <w:rFonts w:ascii="Titillium" w:eastAsia="Times New Roman" w:hAnsi="Titillium" w:cs="Times New Roman"/>
                <w:sz w:val="16"/>
                <w:szCs w:val="16"/>
              </w:rPr>
              <w:t>1</w:t>
            </w:r>
            <w:r w:rsidRPr="006F0AB8">
              <w:rPr>
                <w:rFonts w:ascii="Titillium" w:eastAsia="Times New Roman" w:hAnsi="Titillium" w:cs="Times New Roman"/>
                <w:sz w:val="16"/>
                <w:szCs w:val="16"/>
              </w:rPr>
              <w:t>.0</w:t>
            </w:r>
            <w:r w:rsidR="006F0AB8" w:rsidRPr="006F0AB8">
              <w:rPr>
                <w:rFonts w:ascii="Titillium" w:eastAsia="Times New Roman" w:hAnsi="Titillium" w:cs="Times New Roman"/>
                <w:sz w:val="16"/>
                <w:szCs w:val="16"/>
              </w:rPr>
              <w:t>3</w:t>
            </w:r>
            <w:r w:rsidRPr="006F0AB8">
              <w:rPr>
                <w:rFonts w:ascii="Titillium" w:eastAsia="Times New Roman" w:hAnsi="Titillium" w:cs="Times New Roman"/>
                <w:sz w:val="16"/>
                <w:szCs w:val="16"/>
              </w:rPr>
              <w:t>.202</w:t>
            </w:r>
            <w:r w:rsidR="001379D7" w:rsidRPr="006F0AB8">
              <w:rPr>
                <w:rFonts w:ascii="Titillium" w:eastAsia="Times New Roman" w:hAnsi="Titillium" w:cs="Times New Roman"/>
                <w:sz w:val="16"/>
                <w:szCs w:val="16"/>
              </w:rPr>
              <w:t>6</w:t>
            </w:r>
            <w:r w:rsidRPr="006F0AB8">
              <w:rPr>
                <w:rFonts w:ascii="Titillium" w:eastAsia="Times New Roman" w:hAnsi="Titillium" w:cs="Times New Roman"/>
                <w:sz w:val="16"/>
                <w:szCs w:val="16"/>
              </w:rPr>
              <w:t>r.</w:t>
            </w:r>
            <w:r w:rsidR="00376405" w:rsidRPr="006F0AB8">
              <w:rPr>
                <w:rFonts w:ascii="Titillium" w:eastAsia="Times New Roman" w:hAnsi="Titillium" w:cs="Times New Roman"/>
                <w:sz w:val="16"/>
                <w:szCs w:val="16"/>
              </w:rPr>
              <w:t xml:space="preserve"> – 20%</w:t>
            </w:r>
            <w:r w:rsidRPr="006F0AB8">
              <w:rPr>
                <w:rFonts w:ascii="Titillium" w:eastAsia="Times New Roman" w:hAnsi="Titillium" w:cs="Times New Roman"/>
                <w:sz w:val="16"/>
                <w:szCs w:val="16"/>
              </w:rPr>
              <w:tab/>
            </w:r>
          </w:p>
          <w:p w14:paraId="078C3D14" w14:textId="7E752B45" w:rsidR="00951BA9" w:rsidRPr="006F0AB8" w:rsidRDefault="00BE560C" w:rsidP="00794ED2">
            <w:pPr>
              <w:jc w:val="both"/>
              <w:rPr>
                <w:rFonts w:ascii="Titillium" w:eastAsia="Times New Roman" w:hAnsi="Titillium" w:cs="Times New Roman"/>
                <w:sz w:val="16"/>
                <w:szCs w:val="16"/>
              </w:rPr>
            </w:pPr>
            <w:r w:rsidRPr="006F0AB8">
              <w:rPr>
                <w:rFonts w:ascii="Titillium" w:eastAsia="Times New Roman" w:hAnsi="Titillium" w:cs="Times New Roman"/>
                <w:sz w:val="16"/>
                <w:szCs w:val="16"/>
              </w:rPr>
              <w:t>1)</w:t>
            </w:r>
            <w:r w:rsidR="006F0AB8" w:rsidRPr="006F0AB8">
              <w:rPr>
                <w:rFonts w:ascii="Titillium" w:eastAsia="Times New Roman" w:hAnsi="Titillium" w:cs="Times New Roman"/>
                <w:sz w:val="16"/>
                <w:szCs w:val="16"/>
              </w:rPr>
              <w:t xml:space="preserve"> stan surowy 95%; 2) ścianki działowe 80%; 3)</w:t>
            </w:r>
            <w:r w:rsidR="00091CCC">
              <w:rPr>
                <w:rFonts w:ascii="Titillium" w:eastAsia="Times New Roman" w:hAnsi="Titillium" w:cs="Times New Roman"/>
                <w:sz w:val="16"/>
                <w:szCs w:val="16"/>
              </w:rPr>
              <w:t xml:space="preserve"> </w:t>
            </w:r>
            <w:r w:rsidR="001379D7" w:rsidRPr="006F0AB8">
              <w:rPr>
                <w:rFonts w:ascii="Titillium" w:eastAsia="Times New Roman" w:hAnsi="Titillium" w:cs="Times New Roman"/>
                <w:sz w:val="16"/>
                <w:szCs w:val="16"/>
              </w:rPr>
              <w:t xml:space="preserve">stolarka okienna </w:t>
            </w:r>
            <w:r w:rsidR="006F0AB8" w:rsidRPr="006F0AB8">
              <w:rPr>
                <w:rFonts w:ascii="Titillium" w:eastAsia="Times New Roman" w:hAnsi="Titillium" w:cs="Times New Roman"/>
                <w:sz w:val="16"/>
                <w:szCs w:val="16"/>
              </w:rPr>
              <w:t>3</w:t>
            </w:r>
            <w:r w:rsidR="001379D7" w:rsidRPr="006F0AB8">
              <w:rPr>
                <w:rFonts w:ascii="Titillium" w:eastAsia="Times New Roman" w:hAnsi="Titillium" w:cs="Times New Roman"/>
                <w:sz w:val="16"/>
                <w:szCs w:val="16"/>
              </w:rPr>
              <w:t xml:space="preserve">0%; </w:t>
            </w:r>
            <w:r w:rsidR="00376405" w:rsidRPr="006F0AB8">
              <w:rPr>
                <w:rFonts w:ascii="Titillium" w:eastAsia="Times New Roman" w:hAnsi="Titillium" w:cs="Times New Roman"/>
                <w:sz w:val="16"/>
                <w:szCs w:val="16"/>
              </w:rPr>
              <w:t>2</w:t>
            </w:r>
            <w:r w:rsidR="00951BA9" w:rsidRPr="006F0AB8">
              <w:rPr>
                <w:rFonts w:ascii="Titillium" w:eastAsia="Times New Roman" w:hAnsi="Titillium" w:cs="Times New Roman"/>
                <w:sz w:val="16"/>
                <w:szCs w:val="16"/>
              </w:rPr>
              <w:t>)</w:t>
            </w:r>
            <w:r w:rsidRPr="006F0AB8">
              <w:rPr>
                <w:rFonts w:ascii="Titillium" w:eastAsia="Times New Roman" w:hAnsi="Titillium" w:cs="Times New Roman"/>
                <w:sz w:val="16"/>
                <w:szCs w:val="16"/>
              </w:rPr>
              <w:t xml:space="preserve"> </w:t>
            </w:r>
            <w:r w:rsidR="001379D7" w:rsidRPr="006F0AB8">
              <w:rPr>
                <w:rFonts w:ascii="Titillium" w:eastAsia="Times New Roman" w:hAnsi="Titillium" w:cs="Times New Roman"/>
                <w:sz w:val="16"/>
                <w:szCs w:val="16"/>
              </w:rPr>
              <w:t xml:space="preserve">instalacje elektryczne i teletechniczne </w:t>
            </w:r>
            <w:r w:rsidR="006F0AB8" w:rsidRPr="006F0AB8">
              <w:rPr>
                <w:rFonts w:ascii="Titillium" w:eastAsia="Times New Roman" w:hAnsi="Titillium" w:cs="Times New Roman"/>
                <w:sz w:val="16"/>
                <w:szCs w:val="16"/>
              </w:rPr>
              <w:t>3</w:t>
            </w:r>
            <w:r w:rsidR="001379D7" w:rsidRPr="006F0AB8">
              <w:rPr>
                <w:rFonts w:ascii="Titillium" w:eastAsia="Times New Roman" w:hAnsi="Titillium" w:cs="Times New Roman"/>
                <w:sz w:val="16"/>
                <w:szCs w:val="16"/>
              </w:rPr>
              <w:t xml:space="preserve">0%; </w:t>
            </w:r>
          </w:p>
          <w:p w14:paraId="411583BE" w14:textId="0F3511EE" w:rsidR="00BE560C" w:rsidRPr="0040315F" w:rsidRDefault="00BD2AE2" w:rsidP="00794ED2">
            <w:pPr>
              <w:ind w:left="2"/>
              <w:jc w:val="both"/>
              <w:rPr>
                <w:rFonts w:ascii="Titillium" w:eastAsia="Times New Roman" w:hAnsi="Titillium" w:cs="Times New Roman"/>
                <w:sz w:val="16"/>
                <w:szCs w:val="16"/>
              </w:rPr>
            </w:pPr>
            <w:r w:rsidRPr="0040315F">
              <w:rPr>
                <w:rFonts w:ascii="Titillium" w:eastAsia="Times New Roman" w:hAnsi="Titillium" w:cs="Times New Roman"/>
                <w:sz w:val="16"/>
                <w:szCs w:val="16"/>
              </w:rPr>
              <w:t xml:space="preserve">Etap </w:t>
            </w:r>
            <w:r w:rsidR="00951BA9" w:rsidRPr="0040315F">
              <w:rPr>
                <w:rFonts w:ascii="Titillium" w:eastAsia="Times New Roman" w:hAnsi="Titillium" w:cs="Times New Roman"/>
                <w:sz w:val="16"/>
                <w:szCs w:val="16"/>
              </w:rPr>
              <w:t>V</w:t>
            </w:r>
            <w:r w:rsidRPr="0040315F">
              <w:rPr>
                <w:rFonts w:ascii="Titillium" w:eastAsia="Times New Roman" w:hAnsi="Titillium" w:cs="Times New Roman"/>
                <w:sz w:val="16"/>
                <w:szCs w:val="16"/>
              </w:rPr>
              <w:t xml:space="preserve"> </w:t>
            </w:r>
            <w:r w:rsidR="00951BA9" w:rsidRPr="0040315F">
              <w:rPr>
                <w:rFonts w:ascii="Titillium" w:eastAsia="Times New Roman" w:hAnsi="Titillium" w:cs="Times New Roman"/>
                <w:sz w:val="16"/>
                <w:szCs w:val="16"/>
              </w:rPr>
              <w:t>do 3</w:t>
            </w:r>
            <w:r w:rsidR="002D5318" w:rsidRPr="0040315F">
              <w:rPr>
                <w:rFonts w:ascii="Titillium" w:eastAsia="Times New Roman" w:hAnsi="Titillium" w:cs="Times New Roman"/>
                <w:sz w:val="16"/>
                <w:szCs w:val="16"/>
              </w:rPr>
              <w:t>1</w:t>
            </w:r>
            <w:r w:rsidR="00951BA9" w:rsidRPr="0040315F">
              <w:rPr>
                <w:rFonts w:ascii="Titillium" w:eastAsia="Times New Roman" w:hAnsi="Titillium" w:cs="Times New Roman"/>
                <w:sz w:val="16"/>
                <w:szCs w:val="16"/>
              </w:rPr>
              <w:t>.</w:t>
            </w:r>
            <w:r w:rsidR="007D2E3E" w:rsidRPr="0040315F">
              <w:rPr>
                <w:rFonts w:ascii="Titillium" w:eastAsia="Times New Roman" w:hAnsi="Titillium" w:cs="Times New Roman"/>
                <w:sz w:val="16"/>
                <w:szCs w:val="16"/>
              </w:rPr>
              <w:t>0</w:t>
            </w:r>
            <w:r w:rsidR="0040315F" w:rsidRPr="0040315F">
              <w:rPr>
                <w:rFonts w:ascii="Titillium" w:eastAsia="Times New Roman" w:hAnsi="Titillium" w:cs="Times New Roman"/>
                <w:sz w:val="16"/>
                <w:szCs w:val="16"/>
              </w:rPr>
              <w:t>7</w:t>
            </w:r>
            <w:r w:rsidR="00951BA9" w:rsidRPr="0040315F">
              <w:rPr>
                <w:rFonts w:ascii="Titillium" w:eastAsia="Times New Roman" w:hAnsi="Titillium" w:cs="Times New Roman"/>
                <w:sz w:val="16"/>
                <w:szCs w:val="16"/>
              </w:rPr>
              <w:t>.202</w:t>
            </w:r>
            <w:r w:rsidR="00DA7C32" w:rsidRPr="0040315F">
              <w:rPr>
                <w:rFonts w:ascii="Titillium" w:eastAsia="Times New Roman" w:hAnsi="Titillium" w:cs="Times New Roman"/>
                <w:sz w:val="16"/>
                <w:szCs w:val="16"/>
              </w:rPr>
              <w:t>6</w:t>
            </w:r>
            <w:r w:rsidR="00951BA9" w:rsidRPr="0040315F">
              <w:rPr>
                <w:rFonts w:ascii="Titillium" w:eastAsia="Times New Roman" w:hAnsi="Titillium" w:cs="Times New Roman"/>
                <w:sz w:val="16"/>
                <w:szCs w:val="16"/>
              </w:rPr>
              <w:t>r.</w:t>
            </w:r>
            <w:r w:rsidR="00E83900" w:rsidRPr="0040315F">
              <w:rPr>
                <w:rFonts w:ascii="Titillium" w:eastAsia="Times New Roman" w:hAnsi="Titillium" w:cs="Times New Roman"/>
                <w:sz w:val="16"/>
                <w:szCs w:val="16"/>
              </w:rPr>
              <w:t xml:space="preserve"> – 10%</w:t>
            </w:r>
            <w:r w:rsidR="00951BA9" w:rsidRPr="0040315F">
              <w:rPr>
                <w:rFonts w:ascii="Titillium" w:eastAsia="Times New Roman" w:hAnsi="Titillium" w:cs="Times New Roman"/>
                <w:sz w:val="16"/>
                <w:szCs w:val="16"/>
              </w:rPr>
              <w:tab/>
            </w:r>
          </w:p>
          <w:p w14:paraId="18250AE8" w14:textId="7009FD02" w:rsidR="00951BA9" w:rsidRDefault="0040315F" w:rsidP="00794ED2">
            <w:pPr>
              <w:ind w:left="2"/>
              <w:jc w:val="both"/>
              <w:rPr>
                <w:rFonts w:ascii="Titillium" w:eastAsia="Times New Roman" w:hAnsi="Titillium" w:cs="Times New Roman"/>
                <w:sz w:val="16"/>
                <w:szCs w:val="16"/>
              </w:rPr>
            </w:pPr>
            <w:r w:rsidRPr="006F0AB8">
              <w:rPr>
                <w:rFonts w:ascii="Titillium" w:eastAsia="Times New Roman" w:hAnsi="Titillium" w:cs="Times New Roman"/>
                <w:sz w:val="16"/>
                <w:szCs w:val="16"/>
              </w:rPr>
              <w:t xml:space="preserve">1) stan surowy </w:t>
            </w:r>
            <w:r>
              <w:rPr>
                <w:rFonts w:ascii="Titillium" w:eastAsia="Times New Roman" w:hAnsi="Titillium" w:cs="Times New Roman"/>
                <w:sz w:val="16"/>
                <w:szCs w:val="16"/>
              </w:rPr>
              <w:t>100</w:t>
            </w:r>
            <w:r w:rsidRPr="006F0AB8">
              <w:rPr>
                <w:rFonts w:ascii="Titillium" w:eastAsia="Times New Roman" w:hAnsi="Titillium" w:cs="Times New Roman"/>
                <w:sz w:val="16"/>
                <w:szCs w:val="16"/>
              </w:rPr>
              <w:t xml:space="preserve">%; 2) ścianki działowe </w:t>
            </w:r>
            <w:r>
              <w:rPr>
                <w:rFonts w:ascii="Titillium" w:eastAsia="Times New Roman" w:hAnsi="Titillium" w:cs="Times New Roman"/>
                <w:sz w:val="16"/>
                <w:szCs w:val="16"/>
              </w:rPr>
              <w:t>10</w:t>
            </w:r>
            <w:r w:rsidRPr="006F0AB8">
              <w:rPr>
                <w:rFonts w:ascii="Titillium" w:eastAsia="Times New Roman" w:hAnsi="Titillium" w:cs="Times New Roman"/>
                <w:sz w:val="16"/>
                <w:szCs w:val="16"/>
              </w:rPr>
              <w:t>0</w:t>
            </w:r>
            <w:r w:rsidRPr="0040315F">
              <w:rPr>
                <w:rFonts w:ascii="Titillium" w:eastAsia="Times New Roman" w:hAnsi="Titillium" w:cs="Times New Roman"/>
                <w:sz w:val="16"/>
                <w:szCs w:val="16"/>
              </w:rPr>
              <w:t>%;  3</w:t>
            </w:r>
            <w:r w:rsidR="00951BA9" w:rsidRPr="0040315F">
              <w:rPr>
                <w:rFonts w:ascii="Titillium" w:eastAsia="Times New Roman" w:hAnsi="Titillium" w:cs="Times New Roman"/>
                <w:sz w:val="16"/>
                <w:szCs w:val="16"/>
              </w:rPr>
              <w:t>)</w:t>
            </w:r>
            <w:r w:rsidR="00DA7C32" w:rsidRPr="0040315F">
              <w:rPr>
                <w:rFonts w:ascii="Titillium" w:eastAsia="Times New Roman" w:hAnsi="Titillium" w:cs="Times New Roman"/>
                <w:sz w:val="16"/>
                <w:szCs w:val="16"/>
              </w:rPr>
              <w:t xml:space="preserve"> </w:t>
            </w:r>
            <w:r w:rsidRPr="006F0AB8">
              <w:rPr>
                <w:rFonts w:ascii="Titillium" w:eastAsia="Times New Roman" w:hAnsi="Titillium" w:cs="Times New Roman"/>
                <w:sz w:val="16"/>
                <w:szCs w:val="16"/>
              </w:rPr>
              <w:t xml:space="preserve"> stolarka okienna </w:t>
            </w:r>
            <w:r>
              <w:rPr>
                <w:rFonts w:ascii="Titillium" w:eastAsia="Times New Roman" w:hAnsi="Titillium" w:cs="Times New Roman"/>
                <w:sz w:val="16"/>
                <w:szCs w:val="16"/>
              </w:rPr>
              <w:t>10</w:t>
            </w:r>
            <w:r w:rsidRPr="006F0AB8">
              <w:rPr>
                <w:rFonts w:ascii="Titillium" w:eastAsia="Times New Roman" w:hAnsi="Titillium" w:cs="Times New Roman"/>
                <w:sz w:val="16"/>
                <w:szCs w:val="16"/>
              </w:rPr>
              <w:t xml:space="preserve">0%; </w:t>
            </w:r>
            <w:r>
              <w:rPr>
                <w:rFonts w:ascii="Titillium" w:eastAsia="Times New Roman" w:hAnsi="Titillium" w:cs="Times New Roman"/>
                <w:sz w:val="16"/>
                <w:szCs w:val="16"/>
              </w:rPr>
              <w:t xml:space="preserve">4) </w:t>
            </w:r>
            <w:r w:rsidR="00DA7C32" w:rsidRPr="0040315F">
              <w:rPr>
                <w:rFonts w:ascii="Titillium" w:eastAsia="Times New Roman" w:hAnsi="Titillium" w:cs="Times New Roman"/>
                <w:sz w:val="16"/>
                <w:szCs w:val="16"/>
              </w:rPr>
              <w:t>instalacje</w:t>
            </w:r>
            <w:r w:rsidR="00951BA9" w:rsidRPr="0040315F">
              <w:rPr>
                <w:rFonts w:ascii="Titillium" w:eastAsia="Times New Roman" w:hAnsi="Titillium" w:cs="Times New Roman"/>
                <w:sz w:val="16"/>
                <w:szCs w:val="16"/>
              </w:rPr>
              <w:t xml:space="preserve"> elektryczne i teletechniczne </w:t>
            </w:r>
            <w:r w:rsidRPr="0040315F">
              <w:rPr>
                <w:rFonts w:ascii="Titillium" w:eastAsia="Times New Roman" w:hAnsi="Titillium" w:cs="Times New Roman"/>
                <w:sz w:val="16"/>
                <w:szCs w:val="16"/>
              </w:rPr>
              <w:t>7</w:t>
            </w:r>
            <w:r w:rsidR="00951BA9" w:rsidRPr="0040315F">
              <w:rPr>
                <w:rFonts w:ascii="Titillium" w:eastAsia="Times New Roman" w:hAnsi="Titillium" w:cs="Times New Roman"/>
                <w:sz w:val="16"/>
                <w:szCs w:val="16"/>
              </w:rPr>
              <w:t>0</w:t>
            </w:r>
            <w:r w:rsidR="00376405" w:rsidRPr="0040315F">
              <w:rPr>
                <w:rFonts w:ascii="Titillium" w:eastAsia="Times New Roman" w:hAnsi="Titillium" w:cs="Times New Roman"/>
                <w:sz w:val="16"/>
                <w:szCs w:val="16"/>
              </w:rPr>
              <w:t>%</w:t>
            </w:r>
            <w:r w:rsidR="00BE560C" w:rsidRPr="0040315F">
              <w:rPr>
                <w:rFonts w:ascii="Titillium" w:eastAsia="Times New Roman" w:hAnsi="Titillium" w:cs="Times New Roman"/>
                <w:sz w:val="16"/>
                <w:szCs w:val="16"/>
              </w:rPr>
              <w:t xml:space="preserve">; </w:t>
            </w:r>
            <w:r w:rsidRPr="0040315F">
              <w:rPr>
                <w:rFonts w:ascii="Titillium" w:eastAsia="Times New Roman" w:hAnsi="Titillium" w:cs="Times New Roman"/>
                <w:sz w:val="16"/>
                <w:szCs w:val="16"/>
              </w:rPr>
              <w:t>5</w:t>
            </w:r>
            <w:r w:rsidR="00951BA9" w:rsidRPr="0040315F">
              <w:rPr>
                <w:rFonts w:ascii="Titillium" w:eastAsia="Times New Roman" w:hAnsi="Titillium" w:cs="Times New Roman"/>
                <w:sz w:val="16"/>
                <w:szCs w:val="16"/>
              </w:rPr>
              <w:t>)</w:t>
            </w:r>
            <w:r w:rsidR="00BE560C" w:rsidRPr="0040315F">
              <w:rPr>
                <w:rFonts w:ascii="Titillium" w:eastAsia="Times New Roman" w:hAnsi="Titillium" w:cs="Times New Roman"/>
                <w:sz w:val="16"/>
                <w:szCs w:val="16"/>
              </w:rPr>
              <w:t xml:space="preserve"> </w:t>
            </w:r>
            <w:r w:rsidR="00951BA9" w:rsidRPr="0040315F">
              <w:rPr>
                <w:rFonts w:ascii="Titillium" w:eastAsia="Times New Roman" w:hAnsi="Titillium" w:cs="Times New Roman"/>
                <w:sz w:val="16"/>
                <w:szCs w:val="16"/>
              </w:rPr>
              <w:t xml:space="preserve">tynki wewnętrzne </w:t>
            </w:r>
            <w:r w:rsidRPr="0040315F">
              <w:rPr>
                <w:rFonts w:ascii="Titillium" w:eastAsia="Times New Roman" w:hAnsi="Titillium" w:cs="Times New Roman"/>
                <w:sz w:val="16"/>
                <w:szCs w:val="16"/>
              </w:rPr>
              <w:t>7</w:t>
            </w:r>
            <w:r w:rsidR="00951BA9" w:rsidRPr="0040315F">
              <w:rPr>
                <w:rFonts w:ascii="Titillium" w:eastAsia="Times New Roman" w:hAnsi="Titillium" w:cs="Times New Roman"/>
                <w:sz w:val="16"/>
                <w:szCs w:val="16"/>
              </w:rPr>
              <w:t>0%</w:t>
            </w:r>
            <w:r w:rsidR="00BE560C" w:rsidRPr="0040315F">
              <w:rPr>
                <w:rFonts w:ascii="Titillium" w:eastAsia="Times New Roman" w:hAnsi="Titillium" w:cs="Times New Roman"/>
                <w:sz w:val="16"/>
                <w:szCs w:val="16"/>
              </w:rPr>
              <w:t xml:space="preserve">; </w:t>
            </w:r>
            <w:r w:rsidRPr="0040315F">
              <w:rPr>
                <w:rFonts w:ascii="Titillium" w:eastAsia="Times New Roman" w:hAnsi="Titillium" w:cs="Times New Roman"/>
                <w:sz w:val="16"/>
                <w:szCs w:val="16"/>
              </w:rPr>
              <w:t>6</w:t>
            </w:r>
            <w:r w:rsidR="00951BA9" w:rsidRPr="0040315F">
              <w:rPr>
                <w:rFonts w:ascii="Titillium" w:eastAsia="Times New Roman" w:hAnsi="Titillium" w:cs="Times New Roman"/>
                <w:sz w:val="16"/>
                <w:szCs w:val="16"/>
              </w:rPr>
              <w:t>)</w:t>
            </w:r>
            <w:r w:rsidR="00BE560C" w:rsidRPr="0040315F">
              <w:rPr>
                <w:rFonts w:ascii="Titillium" w:eastAsia="Times New Roman" w:hAnsi="Titillium" w:cs="Times New Roman"/>
                <w:sz w:val="16"/>
                <w:szCs w:val="16"/>
              </w:rPr>
              <w:t xml:space="preserve"> </w:t>
            </w:r>
            <w:r w:rsidR="00951BA9" w:rsidRPr="0040315F">
              <w:rPr>
                <w:rFonts w:ascii="Titillium" w:eastAsia="Times New Roman" w:hAnsi="Titillium" w:cs="Times New Roman"/>
                <w:sz w:val="16"/>
                <w:szCs w:val="16"/>
              </w:rPr>
              <w:t xml:space="preserve">wewnętrzne instalacje </w:t>
            </w:r>
            <w:proofErr w:type="spellStart"/>
            <w:r w:rsidR="00951BA9" w:rsidRPr="0040315F">
              <w:rPr>
                <w:rFonts w:ascii="Titillium" w:eastAsia="Times New Roman" w:hAnsi="Titillium" w:cs="Times New Roman"/>
                <w:sz w:val="16"/>
                <w:szCs w:val="16"/>
              </w:rPr>
              <w:t>wod-kan</w:t>
            </w:r>
            <w:proofErr w:type="spellEnd"/>
            <w:r w:rsidR="00951BA9" w:rsidRPr="0040315F">
              <w:rPr>
                <w:rFonts w:ascii="Titillium" w:eastAsia="Times New Roman" w:hAnsi="Titillium" w:cs="Times New Roman"/>
                <w:sz w:val="16"/>
                <w:szCs w:val="16"/>
              </w:rPr>
              <w:t xml:space="preserve"> </w:t>
            </w:r>
            <w:r w:rsidRPr="0040315F">
              <w:rPr>
                <w:rFonts w:ascii="Titillium" w:eastAsia="Times New Roman" w:hAnsi="Titillium" w:cs="Times New Roman"/>
                <w:sz w:val="16"/>
                <w:szCs w:val="16"/>
              </w:rPr>
              <w:t>3</w:t>
            </w:r>
            <w:r w:rsidR="00951BA9" w:rsidRPr="0040315F">
              <w:rPr>
                <w:rFonts w:ascii="Titillium" w:eastAsia="Times New Roman" w:hAnsi="Titillium" w:cs="Times New Roman"/>
                <w:sz w:val="16"/>
                <w:szCs w:val="16"/>
              </w:rPr>
              <w:t>0%</w:t>
            </w:r>
            <w:r w:rsidR="00BE560C" w:rsidRPr="0040315F">
              <w:rPr>
                <w:rFonts w:ascii="Titillium" w:eastAsia="Times New Roman" w:hAnsi="Titillium" w:cs="Times New Roman"/>
                <w:sz w:val="16"/>
                <w:szCs w:val="16"/>
              </w:rPr>
              <w:t xml:space="preserve">; </w:t>
            </w:r>
            <w:r w:rsidRPr="0040315F">
              <w:rPr>
                <w:rFonts w:ascii="Titillium" w:eastAsia="Times New Roman" w:hAnsi="Titillium" w:cs="Times New Roman"/>
                <w:sz w:val="16"/>
                <w:szCs w:val="16"/>
              </w:rPr>
              <w:t>7</w:t>
            </w:r>
            <w:r w:rsidR="00951BA9" w:rsidRPr="0040315F">
              <w:rPr>
                <w:rFonts w:ascii="Titillium" w:eastAsia="Times New Roman" w:hAnsi="Titillium" w:cs="Times New Roman"/>
                <w:sz w:val="16"/>
                <w:szCs w:val="16"/>
              </w:rPr>
              <w:t>)</w:t>
            </w:r>
            <w:r w:rsidR="00BE560C" w:rsidRPr="0040315F">
              <w:rPr>
                <w:rFonts w:ascii="Titillium" w:eastAsia="Times New Roman" w:hAnsi="Titillium" w:cs="Times New Roman"/>
                <w:sz w:val="16"/>
                <w:szCs w:val="16"/>
              </w:rPr>
              <w:t xml:space="preserve"> </w:t>
            </w:r>
            <w:r w:rsidR="00951BA9" w:rsidRPr="0040315F">
              <w:rPr>
                <w:rFonts w:ascii="Titillium" w:eastAsia="Times New Roman" w:hAnsi="Titillium" w:cs="Times New Roman"/>
                <w:sz w:val="16"/>
                <w:szCs w:val="16"/>
              </w:rPr>
              <w:t xml:space="preserve">wewnętrzne instalacje c.o. </w:t>
            </w:r>
            <w:r w:rsidRPr="0040315F">
              <w:rPr>
                <w:rFonts w:ascii="Titillium" w:eastAsia="Times New Roman" w:hAnsi="Titillium" w:cs="Times New Roman"/>
                <w:sz w:val="16"/>
                <w:szCs w:val="16"/>
              </w:rPr>
              <w:t>3</w:t>
            </w:r>
            <w:r w:rsidR="00951BA9" w:rsidRPr="0040315F">
              <w:rPr>
                <w:rFonts w:ascii="Titillium" w:eastAsia="Times New Roman" w:hAnsi="Titillium" w:cs="Times New Roman"/>
                <w:sz w:val="16"/>
                <w:szCs w:val="16"/>
              </w:rPr>
              <w:t>0%</w:t>
            </w:r>
            <w:r w:rsidR="00BE560C" w:rsidRPr="0040315F">
              <w:rPr>
                <w:rFonts w:ascii="Titillium" w:eastAsia="Times New Roman" w:hAnsi="Titillium" w:cs="Times New Roman"/>
                <w:sz w:val="16"/>
                <w:szCs w:val="16"/>
              </w:rPr>
              <w:t xml:space="preserve">; </w:t>
            </w:r>
            <w:r w:rsidRPr="0040315F">
              <w:rPr>
                <w:rFonts w:ascii="Titillium" w:eastAsia="Times New Roman" w:hAnsi="Titillium" w:cs="Times New Roman"/>
                <w:sz w:val="16"/>
                <w:szCs w:val="16"/>
              </w:rPr>
              <w:t>8</w:t>
            </w:r>
            <w:r w:rsidR="00951BA9" w:rsidRPr="0040315F">
              <w:rPr>
                <w:rFonts w:ascii="Titillium" w:eastAsia="Times New Roman" w:hAnsi="Titillium" w:cs="Times New Roman"/>
                <w:sz w:val="16"/>
                <w:szCs w:val="16"/>
              </w:rPr>
              <w:t>)</w:t>
            </w:r>
            <w:r w:rsidR="00BE560C" w:rsidRPr="0040315F">
              <w:rPr>
                <w:rFonts w:ascii="Titillium" w:eastAsia="Times New Roman" w:hAnsi="Titillium" w:cs="Times New Roman"/>
                <w:sz w:val="16"/>
                <w:szCs w:val="16"/>
              </w:rPr>
              <w:t xml:space="preserve"> </w:t>
            </w:r>
            <w:r w:rsidR="00951BA9" w:rsidRPr="0040315F">
              <w:rPr>
                <w:rFonts w:ascii="Titillium" w:eastAsia="Times New Roman" w:hAnsi="Titillium" w:cs="Times New Roman"/>
                <w:sz w:val="16"/>
                <w:szCs w:val="16"/>
              </w:rPr>
              <w:t xml:space="preserve">podłoża i posadzki betonowe </w:t>
            </w:r>
            <w:r w:rsidRPr="0040315F">
              <w:rPr>
                <w:rFonts w:ascii="Titillium" w:eastAsia="Times New Roman" w:hAnsi="Titillium" w:cs="Times New Roman"/>
                <w:sz w:val="16"/>
                <w:szCs w:val="16"/>
              </w:rPr>
              <w:t>3</w:t>
            </w:r>
            <w:r w:rsidR="00951BA9" w:rsidRPr="0040315F">
              <w:rPr>
                <w:rFonts w:ascii="Titillium" w:eastAsia="Times New Roman" w:hAnsi="Titillium" w:cs="Times New Roman"/>
                <w:sz w:val="16"/>
                <w:szCs w:val="16"/>
              </w:rPr>
              <w:t>0</w:t>
            </w:r>
            <w:r w:rsidRPr="0040315F">
              <w:rPr>
                <w:rFonts w:ascii="Titillium" w:eastAsia="Times New Roman" w:hAnsi="Titillium" w:cs="Times New Roman"/>
                <w:sz w:val="16"/>
                <w:szCs w:val="16"/>
              </w:rPr>
              <w:t>%</w:t>
            </w:r>
            <w:r w:rsidR="00091CCC">
              <w:rPr>
                <w:rFonts w:ascii="Titillium" w:eastAsia="Times New Roman" w:hAnsi="Titillium" w:cs="Times New Roman"/>
                <w:sz w:val="16"/>
                <w:szCs w:val="16"/>
              </w:rPr>
              <w:t>;</w:t>
            </w:r>
          </w:p>
          <w:p w14:paraId="3C491639" w14:textId="6165E0D0" w:rsidR="0040315F" w:rsidRPr="0040315F" w:rsidRDefault="0040315F" w:rsidP="0040315F">
            <w:pPr>
              <w:ind w:left="2"/>
              <w:jc w:val="both"/>
              <w:rPr>
                <w:rFonts w:ascii="Titillium" w:eastAsia="Times New Roman" w:hAnsi="Titillium" w:cs="Times New Roman"/>
                <w:sz w:val="16"/>
                <w:szCs w:val="16"/>
              </w:rPr>
            </w:pPr>
            <w:r w:rsidRPr="0040315F">
              <w:rPr>
                <w:rFonts w:ascii="Titillium" w:eastAsia="Times New Roman" w:hAnsi="Titillium" w:cs="Times New Roman"/>
                <w:sz w:val="16"/>
                <w:szCs w:val="16"/>
              </w:rPr>
              <w:t>Etap V</w:t>
            </w:r>
            <w:r>
              <w:rPr>
                <w:rFonts w:ascii="Titillium" w:eastAsia="Times New Roman" w:hAnsi="Titillium" w:cs="Times New Roman"/>
                <w:sz w:val="16"/>
                <w:szCs w:val="16"/>
              </w:rPr>
              <w:t>I</w:t>
            </w:r>
            <w:r w:rsidRPr="0040315F">
              <w:rPr>
                <w:rFonts w:ascii="Titillium" w:eastAsia="Times New Roman" w:hAnsi="Titillium" w:cs="Times New Roman"/>
                <w:sz w:val="16"/>
                <w:szCs w:val="16"/>
              </w:rPr>
              <w:t xml:space="preserve"> do 3</w:t>
            </w:r>
            <w:r>
              <w:rPr>
                <w:rFonts w:ascii="Titillium" w:eastAsia="Times New Roman" w:hAnsi="Titillium" w:cs="Times New Roman"/>
                <w:sz w:val="16"/>
                <w:szCs w:val="16"/>
              </w:rPr>
              <w:t>0</w:t>
            </w:r>
            <w:r w:rsidRPr="0040315F">
              <w:rPr>
                <w:rFonts w:ascii="Titillium" w:eastAsia="Times New Roman" w:hAnsi="Titillium" w:cs="Times New Roman"/>
                <w:sz w:val="16"/>
                <w:szCs w:val="16"/>
              </w:rPr>
              <w:t>.</w:t>
            </w:r>
            <w:r>
              <w:rPr>
                <w:rFonts w:ascii="Titillium" w:eastAsia="Times New Roman" w:hAnsi="Titillium" w:cs="Times New Roman"/>
                <w:sz w:val="16"/>
                <w:szCs w:val="16"/>
              </w:rPr>
              <w:t>11</w:t>
            </w:r>
            <w:r w:rsidRPr="0040315F">
              <w:rPr>
                <w:rFonts w:ascii="Titillium" w:eastAsia="Times New Roman" w:hAnsi="Titillium" w:cs="Times New Roman"/>
                <w:sz w:val="16"/>
                <w:szCs w:val="16"/>
              </w:rPr>
              <w:t>.2026r. – 10%</w:t>
            </w:r>
            <w:r w:rsidRPr="0040315F">
              <w:rPr>
                <w:rFonts w:ascii="Titillium" w:eastAsia="Times New Roman" w:hAnsi="Titillium" w:cs="Times New Roman"/>
                <w:sz w:val="16"/>
                <w:szCs w:val="16"/>
              </w:rPr>
              <w:tab/>
            </w:r>
          </w:p>
          <w:p w14:paraId="42DB7F43" w14:textId="427031B5" w:rsidR="00091CCC" w:rsidRDefault="0040315F" w:rsidP="00091CCC">
            <w:pPr>
              <w:ind w:left="2"/>
              <w:jc w:val="both"/>
              <w:rPr>
                <w:rFonts w:ascii="Titillium" w:eastAsia="Times New Roman" w:hAnsi="Titillium" w:cs="Times New Roman"/>
                <w:sz w:val="16"/>
                <w:szCs w:val="16"/>
              </w:rPr>
            </w:pPr>
            <w:r>
              <w:rPr>
                <w:rFonts w:ascii="Titillium" w:eastAsia="Times New Roman" w:hAnsi="Titillium" w:cs="Times New Roman"/>
                <w:sz w:val="16"/>
                <w:szCs w:val="16"/>
              </w:rPr>
              <w:t xml:space="preserve">1) </w:t>
            </w:r>
            <w:r w:rsidRPr="0040315F">
              <w:rPr>
                <w:rFonts w:ascii="Titillium" w:eastAsia="Times New Roman" w:hAnsi="Titillium" w:cs="Times New Roman"/>
                <w:sz w:val="16"/>
                <w:szCs w:val="16"/>
              </w:rPr>
              <w:t xml:space="preserve">instalacje elektryczne i teletechniczne </w:t>
            </w:r>
            <w:r>
              <w:rPr>
                <w:rFonts w:ascii="Titillium" w:eastAsia="Times New Roman" w:hAnsi="Titillium" w:cs="Times New Roman"/>
                <w:sz w:val="16"/>
                <w:szCs w:val="16"/>
              </w:rPr>
              <w:t>10</w:t>
            </w:r>
            <w:r w:rsidRPr="0040315F">
              <w:rPr>
                <w:rFonts w:ascii="Titillium" w:eastAsia="Times New Roman" w:hAnsi="Titillium" w:cs="Times New Roman"/>
                <w:sz w:val="16"/>
                <w:szCs w:val="16"/>
              </w:rPr>
              <w:t>0%;</w:t>
            </w:r>
            <w:r>
              <w:rPr>
                <w:rFonts w:ascii="Titillium" w:eastAsia="Times New Roman" w:hAnsi="Titillium" w:cs="Times New Roman"/>
                <w:sz w:val="16"/>
                <w:szCs w:val="16"/>
              </w:rPr>
              <w:t xml:space="preserve"> 2)</w:t>
            </w:r>
            <w:r w:rsidRPr="0040315F">
              <w:rPr>
                <w:rFonts w:ascii="Titillium" w:eastAsia="Times New Roman" w:hAnsi="Titillium" w:cs="Times New Roman"/>
                <w:sz w:val="16"/>
                <w:szCs w:val="16"/>
              </w:rPr>
              <w:t xml:space="preserve"> tynki wewnętrzne </w:t>
            </w:r>
            <w:r>
              <w:rPr>
                <w:rFonts w:ascii="Titillium" w:eastAsia="Times New Roman" w:hAnsi="Titillium" w:cs="Times New Roman"/>
                <w:sz w:val="16"/>
                <w:szCs w:val="16"/>
              </w:rPr>
              <w:t>10</w:t>
            </w:r>
            <w:r w:rsidRPr="0040315F">
              <w:rPr>
                <w:rFonts w:ascii="Titillium" w:eastAsia="Times New Roman" w:hAnsi="Titillium" w:cs="Times New Roman"/>
                <w:sz w:val="16"/>
                <w:szCs w:val="16"/>
              </w:rPr>
              <w:t>0%;</w:t>
            </w:r>
            <w:r>
              <w:rPr>
                <w:rFonts w:ascii="Titillium" w:eastAsia="Times New Roman" w:hAnsi="Titillium" w:cs="Times New Roman"/>
                <w:sz w:val="16"/>
                <w:szCs w:val="16"/>
              </w:rPr>
              <w:t xml:space="preserve"> 3</w:t>
            </w:r>
            <w:r w:rsidRPr="0040315F">
              <w:rPr>
                <w:rFonts w:ascii="Titillium" w:eastAsia="Times New Roman" w:hAnsi="Titillium" w:cs="Times New Roman"/>
                <w:sz w:val="16"/>
                <w:szCs w:val="16"/>
              </w:rPr>
              <w:t xml:space="preserve">) wewnętrzne instalacje </w:t>
            </w:r>
            <w:proofErr w:type="spellStart"/>
            <w:r w:rsidRPr="0040315F">
              <w:rPr>
                <w:rFonts w:ascii="Titillium" w:eastAsia="Times New Roman" w:hAnsi="Titillium" w:cs="Times New Roman"/>
                <w:sz w:val="16"/>
                <w:szCs w:val="16"/>
              </w:rPr>
              <w:t>wod-kan</w:t>
            </w:r>
            <w:proofErr w:type="spellEnd"/>
            <w:r w:rsidRPr="0040315F">
              <w:rPr>
                <w:rFonts w:ascii="Titillium" w:eastAsia="Times New Roman" w:hAnsi="Titillium" w:cs="Times New Roman"/>
                <w:sz w:val="16"/>
                <w:szCs w:val="16"/>
              </w:rPr>
              <w:t xml:space="preserve"> </w:t>
            </w:r>
            <w:r w:rsidR="00091CCC">
              <w:rPr>
                <w:rFonts w:ascii="Titillium" w:eastAsia="Times New Roman" w:hAnsi="Titillium" w:cs="Times New Roman"/>
                <w:sz w:val="16"/>
                <w:szCs w:val="16"/>
              </w:rPr>
              <w:t>10</w:t>
            </w:r>
            <w:r w:rsidRPr="0040315F">
              <w:rPr>
                <w:rFonts w:ascii="Titillium" w:eastAsia="Times New Roman" w:hAnsi="Titillium" w:cs="Times New Roman"/>
                <w:sz w:val="16"/>
                <w:szCs w:val="16"/>
              </w:rPr>
              <w:t>0%;</w:t>
            </w:r>
            <w:r>
              <w:rPr>
                <w:rFonts w:ascii="Titillium" w:eastAsia="Times New Roman" w:hAnsi="Titillium" w:cs="Times New Roman"/>
                <w:sz w:val="16"/>
                <w:szCs w:val="16"/>
              </w:rPr>
              <w:t xml:space="preserve"> 4</w:t>
            </w:r>
            <w:r w:rsidRPr="0040315F">
              <w:rPr>
                <w:rFonts w:ascii="Titillium" w:eastAsia="Times New Roman" w:hAnsi="Titillium" w:cs="Times New Roman"/>
                <w:sz w:val="16"/>
                <w:szCs w:val="16"/>
              </w:rPr>
              <w:t xml:space="preserve">) wewnętrzne instalacje c.o. </w:t>
            </w:r>
            <w:r w:rsidR="00091CCC">
              <w:rPr>
                <w:rFonts w:ascii="Titillium" w:eastAsia="Times New Roman" w:hAnsi="Titillium" w:cs="Times New Roman"/>
                <w:sz w:val="16"/>
                <w:szCs w:val="16"/>
              </w:rPr>
              <w:t>10</w:t>
            </w:r>
            <w:r w:rsidRPr="0040315F">
              <w:rPr>
                <w:rFonts w:ascii="Titillium" w:eastAsia="Times New Roman" w:hAnsi="Titillium" w:cs="Times New Roman"/>
                <w:sz w:val="16"/>
                <w:szCs w:val="16"/>
              </w:rPr>
              <w:t>0%;</w:t>
            </w:r>
            <w:r w:rsidR="00091CCC">
              <w:rPr>
                <w:rFonts w:ascii="Titillium" w:eastAsia="Times New Roman" w:hAnsi="Titillium" w:cs="Times New Roman"/>
                <w:sz w:val="16"/>
                <w:szCs w:val="16"/>
              </w:rPr>
              <w:t xml:space="preserve"> 5</w:t>
            </w:r>
            <w:r w:rsidR="00091CCC" w:rsidRPr="0040315F">
              <w:rPr>
                <w:rFonts w:ascii="Titillium" w:eastAsia="Times New Roman" w:hAnsi="Titillium" w:cs="Times New Roman"/>
                <w:sz w:val="16"/>
                <w:szCs w:val="16"/>
              </w:rPr>
              <w:t xml:space="preserve">) podłoża i posadzki betonowe </w:t>
            </w:r>
            <w:r w:rsidR="00091CCC">
              <w:rPr>
                <w:rFonts w:ascii="Titillium" w:eastAsia="Times New Roman" w:hAnsi="Titillium" w:cs="Times New Roman"/>
                <w:sz w:val="16"/>
                <w:szCs w:val="16"/>
              </w:rPr>
              <w:t>10</w:t>
            </w:r>
            <w:r w:rsidR="00091CCC" w:rsidRPr="0040315F">
              <w:rPr>
                <w:rFonts w:ascii="Titillium" w:eastAsia="Times New Roman" w:hAnsi="Titillium" w:cs="Times New Roman"/>
                <w:sz w:val="16"/>
                <w:szCs w:val="16"/>
              </w:rPr>
              <w:t>0%</w:t>
            </w:r>
            <w:r w:rsidR="00091CCC">
              <w:rPr>
                <w:rFonts w:ascii="Titillium" w:eastAsia="Times New Roman" w:hAnsi="Titillium" w:cs="Times New Roman"/>
                <w:sz w:val="16"/>
                <w:szCs w:val="16"/>
              </w:rPr>
              <w:t>; 6) stolarka drzwiowa 100%; 7) ślusarka aluminiowa 100%; 8) malowanie wewnętrzne 100%; 9) okładziny z płytek 100%; 10) windy 100%; 11) elewacja 100%; 12) drogi, chodniki, trawniki 100%.</w:t>
            </w:r>
          </w:p>
          <w:p w14:paraId="57B009C9" w14:textId="79ADFEEF" w:rsidR="0040315F" w:rsidRPr="0040315F" w:rsidRDefault="0040315F" w:rsidP="0040315F">
            <w:pPr>
              <w:ind w:left="2"/>
              <w:jc w:val="both"/>
              <w:rPr>
                <w:rFonts w:ascii="Titillium" w:eastAsia="Times New Roman" w:hAnsi="Titillium" w:cs="Times New Roman"/>
                <w:sz w:val="16"/>
                <w:szCs w:val="16"/>
              </w:rPr>
            </w:pPr>
          </w:p>
        </w:tc>
      </w:tr>
      <w:tr w:rsidR="00F61396" w:rsidRPr="00D31C8C" w14:paraId="03282BEA" w14:textId="77777777" w:rsidTr="00794ED2">
        <w:tblPrEx>
          <w:tblCellMar>
            <w:top w:w="167" w:type="dxa"/>
          </w:tblCellMar>
        </w:tblPrEx>
        <w:trPr>
          <w:gridAfter w:val="1"/>
          <w:wAfter w:w="5650" w:type="dxa"/>
          <w:trHeight w:val="643"/>
        </w:trPr>
        <w:tc>
          <w:tcPr>
            <w:tcW w:w="2830" w:type="dxa"/>
            <w:tcBorders>
              <w:top w:val="single" w:sz="4" w:space="0" w:color="000000"/>
              <w:left w:val="single" w:sz="4" w:space="0" w:color="000000"/>
              <w:bottom w:val="single" w:sz="4" w:space="0" w:color="000000"/>
              <w:right w:val="single" w:sz="4" w:space="0" w:color="000000"/>
            </w:tcBorders>
            <w:shd w:val="clear" w:color="auto" w:fill="F3F3F3"/>
          </w:tcPr>
          <w:p w14:paraId="650249BA" w14:textId="77777777" w:rsidR="006C0B79" w:rsidRPr="00D31C8C" w:rsidRDefault="006C0B79" w:rsidP="00794ED2">
            <w:pPr>
              <w:ind w:right="114"/>
              <w:rPr>
                <w:rFonts w:ascii="Titillium" w:hAnsi="Titillium"/>
                <w:sz w:val="16"/>
                <w:szCs w:val="16"/>
              </w:rPr>
            </w:pPr>
            <w:r w:rsidRPr="00D31C8C">
              <w:rPr>
                <w:rFonts w:ascii="Titillium" w:eastAsia="Times New Roman" w:hAnsi="Titillium" w:cs="Times New Roman"/>
                <w:sz w:val="16"/>
                <w:szCs w:val="16"/>
              </w:rPr>
              <w:t xml:space="preserve">Dopuszczenie waloryzacji ceny oraz określenie zasad waloryzacji </w:t>
            </w:r>
          </w:p>
        </w:tc>
        <w:tc>
          <w:tcPr>
            <w:tcW w:w="6804" w:type="dxa"/>
            <w:gridSpan w:val="2"/>
            <w:tcBorders>
              <w:top w:val="single" w:sz="4" w:space="0" w:color="000000"/>
              <w:left w:val="single" w:sz="4" w:space="0" w:color="000000"/>
              <w:bottom w:val="single" w:sz="4" w:space="0" w:color="000000"/>
              <w:right w:val="single" w:sz="4" w:space="0" w:color="000000"/>
            </w:tcBorders>
          </w:tcPr>
          <w:p w14:paraId="25109C0F" w14:textId="77777777" w:rsidR="006131E0" w:rsidRPr="006131E0" w:rsidRDefault="006131E0" w:rsidP="006131E0">
            <w:pPr>
              <w:rPr>
                <w:rFonts w:ascii="Titillium" w:eastAsia="Times New Roman" w:hAnsi="Titillium" w:cs="Times New Roman"/>
                <w:sz w:val="16"/>
                <w:szCs w:val="16"/>
              </w:rPr>
            </w:pPr>
            <w:r w:rsidRPr="006131E0">
              <w:rPr>
                <w:rFonts w:ascii="Titillium" w:eastAsia="Times New Roman" w:hAnsi="Titillium" w:cs="Times New Roman"/>
                <w:sz w:val="16"/>
                <w:szCs w:val="16"/>
              </w:rPr>
              <w:t>Dopuszczenie waloryzacji ceny może wystąpić jedynie w przypadku:</w:t>
            </w:r>
          </w:p>
          <w:p w14:paraId="093FBC86" w14:textId="77777777" w:rsidR="006131E0" w:rsidRPr="006131E0" w:rsidRDefault="006131E0" w:rsidP="006131E0">
            <w:pPr>
              <w:rPr>
                <w:rFonts w:ascii="Titillium" w:eastAsia="Times New Roman" w:hAnsi="Titillium" w:cs="Times New Roman"/>
                <w:sz w:val="16"/>
                <w:szCs w:val="16"/>
              </w:rPr>
            </w:pPr>
            <w:r w:rsidRPr="006131E0">
              <w:rPr>
                <w:rFonts w:ascii="Titillium" w:eastAsia="Times New Roman" w:hAnsi="Titillium" w:cs="Times New Roman"/>
                <w:sz w:val="16"/>
                <w:szCs w:val="16"/>
              </w:rPr>
              <w:t>- W razie zmiany stawki należnego podatku VAT od ceny bądź części ceny Lokalu mieszkalnego, nastąpi odpowiednia zmiana ceny brutto Lokalu mieszkalnego, a Nabywcy przysługuje uprawnienie do odstąpienia od Umowy w ciągu 30 (trzydziestu) dni od daty poinformowania go przez Dewelopera o zmianie ceny Lokalu mieszkalnego</w:t>
            </w:r>
          </w:p>
          <w:p w14:paraId="6D3028AF" w14:textId="77777777" w:rsidR="006131E0" w:rsidRPr="006131E0" w:rsidRDefault="006131E0" w:rsidP="006131E0">
            <w:pPr>
              <w:rPr>
                <w:rFonts w:ascii="Titillium" w:eastAsia="Times New Roman" w:hAnsi="Titillium" w:cs="Times New Roman"/>
                <w:sz w:val="16"/>
                <w:szCs w:val="16"/>
              </w:rPr>
            </w:pPr>
            <w:r w:rsidRPr="006131E0">
              <w:rPr>
                <w:rFonts w:ascii="Titillium" w:eastAsia="Times New Roman" w:hAnsi="Titillium" w:cs="Times New Roman"/>
                <w:sz w:val="16"/>
                <w:szCs w:val="16"/>
              </w:rPr>
              <w:t>-  Strony ustalają, że jeżeli wobec uwarunkowań technologicznych nastąpi zmiana powierzchni Lokalu mieszkalnego do +/-2%, cena Lokalu mieszkalnego określona w Umowie deweloperskiej nie ulegnie zmianie, zaś Nabywcy przysługuje uprawnienie do odstąpienia od Umowy w ciągu 30 (trzydziestu) dni od daty poinformowania go przez Dewelopera o zmianie powierzchni Lokalu mieszkalnego.</w:t>
            </w:r>
          </w:p>
          <w:p w14:paraId="7A4D50F8" w14:textId="6B95B0C4" w:rsidR="006C0B79" w:rsidRPr="00994D8A" w:rsidRDefault="006131E0" w:rsidP="006131E0">
            <w:pPr>
              <w:ind w:left="2"/>
              <w:rPr>
                <w:rFonts w:ascii="Titillium" w:eastAsia="Times New Roman" w:hAnsi="Titillium" w:cs="Times New Roman"/>
                <w:color w:val="FF0000"/>
                <w:sz w:val="16"/>
                <w:szCs w:val="16"/>
              </w:rPr>
            </w:pPr>
            <w:r w:rsidRPr="006131E0">
              <w:rPr>
                <w:rFonts w:ascii="Titillium" w:eastAsia="Times New Roman" w:hAnsi="Titillium" w:cs="Times New Roman"/>
                <w:sz w:val="16"/>
                <w:szCs w:val="16"/>
              </w:rPr>
              <w:t>- Nabywca może wprowadzić zmiany w układzie ścian działowych, w rozmieszczeniu punktów instalacji elektrycznej i w ustawieniu podejść do urządzeń sanitarnych w Lokalu - w terminie wskazanym przez Dewelopera, a Deweloper zobowiązuje się do wykonania robót zamiennych i dodatkowych według wskazań Nabywcy, jeśli spełniają one wymogi obowiązujących warunków technicznych. Jeżeli zmiana usytuowania ścian działowych spowoduje zmianę powierzchni Lokalu mieszkalnego, cena Lokalu mieszkalnego nie ulega zmianie oraz Nabywca akceptuje, iż zmiana powierzchni Lokalu mieszkalnego wynikająca ze zleconych przez Nabywcę zmian usytuowania ścian działowych nie uprawnia Nabywcy do odstąpienia od niniejszej umowy.</w:t>
            </w:r>
          </w:p>
        </w:tc>
      </w:tr>
    </w:tbl>
    <w:p w14:paraId="37296030" w14:textId="0E038840" w:rsidR="00095A92" w:rsidRPr="00D31C8C" w:rsidRDefault="00F61396">
      <w:pPr>
        <w:spacing w:after="0"/>
        <w:rPr>
          <w:rFonts w:ascii="Titillium" w:hAnsi="Titillium"/>
          <w:sz w:val="16"/>
          <w:szCs w:val="16"/>
        </w:rPr>
      </w:pPr>
      <w:r>
        <w:rPr>
          <w:rFonts w:ascii="Titillium" w:eastAsia="Times New Roman" w:hAnsi="Titillium" w:cs="Times New Roman"/>
          <w:strike/>
          <w:sz w:val="16"/>
          <w:szCs w:val="16"/>
        </w:rPr>
        <w:br w:type="textWrapping" w:clear="all"/>
      </w:r>
      <w:r w:rsidR="00095A92" w:rsidRPr="00D31C8C">
        <w:rPr>
          <w:rFonts w:ascii="Titillium" w:eastAsia="Times New Roman" w:hAnsi="Titillium" w:cs="Times New Roman"/>
          <w:strike/>
          <w:sz w:val="16"/>
          <w:szCs w:val="16"/>
        </w:rPr>
        <w:t xml:space="preserve">                                                         </w:t>
      </w:r>
      <w:r w:rsidR="00095A92" w:rsidRPr="00D31C8C">
        <w:rPr>
          <w:rFonts w:ascii="Titillium" w:eastAsia="Times New Roman" w:hAnsi="Titillium" w:cs="Times New Roman"/>
          <w:sz w:val="16"/>
          <w:szCs w:val="16"/>
        </w:rPr>
        <w:t xml:space="preserve"> </w:t>
      </w:r>
    </w:p>
    <w:p w14:paraId="495BE369" w14:textId="6C0CB130" w:rsidR="00095A92" w:rsidRPr="00715DB9" w:rsidRDefault="00095A92">
      <w:pPr>
        <w:spacing w:after="4" w:line="260" w:lineRule="auto"/>
        <w:ind w:left="266" w:hanging="281"/>
        <w:jc w:val="both"/>
        <w:rPr>
          <w:rFonts w:ascii="Titillium" w:hAnsi="Titillium"/>
          <w:sz w:val="8"/>
          <w:szCs w:val="8"/>
        </w:rPr>
      </w:pPr>
      <w:r w:rsidRPr="00715DB9">
        <w:rPr>
          <w:rFonts w:ascii="Titillium" w:eastAsia="Times New Roman" w:hAnsi="Titillium" w:cs="Times New Roman"/>
          <w:sz w:val="8"/>
          <w:szCs w:val="8"/>
          <w:vertAlign w:val="superscript"/>
        </w:rPr>
        <w:t>7)</w:t>
      </w:r>
      <w:r w:rsidRPr="00715DB9">
        <w:rPr>
          <w:rFonts w:ascii="Titillium" w:eastAsia="Times New Roman" w:hAnsi="Titillium" w:cs="Times New Roman"/>
          <w:sz w:val="8"/>
          <w:szCs w:val="8"/>
        </w:rPr>
        <w:t xml:space="preserve"> Zgodnie z art. 4</w:t>
      </w:r>
      <w:r w:rsidR="002C5935" w:rsidRPr="00715DB9">
        <w:rPr>
          <w:rFonts w:ascii="Titillium" w:eastAsia="Times New Roman" w:hAnsi="Titillium" w:cs="Times New Roman"/>
          <w:sz w:val="8"/>
          <w:szCs w:val="8"/>
        </w:rPr>
        <w:t>8</w:t>
      </w:r>
      <w:r w:rsidRPr="00715DB9">
        <w:rPr>
          <w:rFonts w:ascii="Titillium" w:eastAsia="Times New Roman" w:hAnsi="Titillium" w:cs="Times New Roman"/>
          <w:sz w:val="8"/>
          <w:szCs w:val="8"/>
        </w:rPr>
        <w:t xml:space="preserve"> ust. 6 ustawy z dnia 20 maja 2021 r. o ochronie praw nabywcy lokalu mieszkalnego lub domu jednorodzinnego oraz Deweloperskim Funduszu Gwarancyjnym (Dz. U.</w:t>
      </w:r>
      <w:r w:rsidR="002C5935" w:rsidRPr="00715DB9">
        <w:rPr>
          <w:rFonts w:ascii="Titillium" w:eastAsia="Times New Roman" w:hAnsi="Titillium" w:cs="Times New Roman"/>
          <w:sz w:val="8"/>
          <w:szCs w:val="8"/>
        </w:rPr>
        <w:t xml:space="preserve"> z 2024r.</w:t>
      </w:r>
      <w:r w:rsidRPr="00715DB9">
        <w:rPr>
          <w:rFonts w:ascii="Titillium" w:eastAsia="Times New Roman" w:hAnsi="Titillium" w:cs="Times New Roman"/>
          <w:sz w:val="8"/>
          <w:szCs w:val="8"/>
        </w:rPr>
        <w:t xml:space="preserve"> poz. </w:t>
      </w:r>
      <w:r w:rsidR="00791B9B" w:rsidRPr="00715DB9">
        <w:rPr>
          <w:rFonts w:ascii="Titillium" w:eastAsia="Times New Roman" w:hAnsi="Titillium" w:cs="Times New Roman"/>
          <w:sz w:val="8"/>
          <w:szCs w:val="8"/>
        </w:rPr>
        <w:t>695</w:t>
      </w:r>
      <w:r w:rsidRPr="00715DB9">
        <w:rPr>
          <w:rFonts w:ascii="Titillium" w:eastAsia="Times New Roman" w:hAnsi="Titillium" w:cs="Times New Roman"/>
          <w:sz w:val="8"/>
          <w:szCs w:val="8"/>
        </w:rPr>
        <w:t>) wysokość składki jest wyliczana według stawki procentowej obowiązującej w dniu rozpoczęcia sprzedaży lokali mieszkalnych lub domów jednorodzinnych w ramach danego przedsięwzięcia deweloperskiego lub zadania inwestycyjnego. Natomiast stawkę procentową określa akt wykonawczy wydany na podstawie art. 4</w:t>
      </w:r>
      <w:r w:rsidR="00791B9B" w:rsidRPr="00715DB9">
        <w:rPr>
          <w:rFonts w:ascii="Titillium" w:eastAsia="Times New Roman" w:hAnsi="Titillium" w:cs="Times New Roman"/>
          <w:sz w:val="8"/>
          <w:szCs w:val="8"/>
        </w:rPr>
        <w:t>8</w:t>
      </w:r>
      <w:r w:rsidRPr="00715DB9">
        <w:rPr>
          <w:rFonts w:ascii="Titillium" w:eastAsia="Times New Roman" w:hAnsi="Titillium" w:cs="Times New Roman"/>
          <w:sz w:val="8"/>
          <w:szCs w:val="8"/>
        </w:rPr>
        <w:t xml:space="preserve"> ust. 8 ustawy z dnia 20 maja 2021 r.</w:t>
      </w:r>
      <w:r w:rsidRPr="00715DB9">
        <w:rPr>
          <w:rFonts w:ascii="Titillium" w:eastAsia="Times New Roman" w:hAnsi="Titillium" w:cs="Times New Roman"/>
          <w:b/>
          <w:sz w:val="8"/>
          <w:szCs w:val="8"/>
        </w:rPr>
        <w:t xml:space="preserve"> </w:t>
      </w:r>
      <w:r w:rsidRPr="00715DB9">
        <w:rPr>
          <w:rFonts w:ascii="Titillium" w:eastAsia="Times New Roman" w:hAnsi="Titillium" w:cs="Times New Roman"/>
          <w:sz w:val="8"/>
          <w:szCs w:val="8"/>
        </w:rPr>
        <w:t xml:space="preserve">o ochronie praw nabywcy lokalu mieszkalnego lub domu jednorodzinnego oraz Deweloperskim Funduszu Gwarancyjnym. </w:t>
      </w:r>
    </w:p>
    <w:p w14:paraId="6530190C" w14:textId="77777777" w:rsidR="00095A92" w:rsidRPr="00715DB9" w:rsidRDefault="00095A92">
      <w:pPr>
        <w:spacing w:after="33"/>
        <w:rPr>
          <w:rFonts w:ascii="Titillium" w:hAnsi="Titillium"/>
          <w:sz w:val="8"/>
          <w:szCs w:val="8"/>
        </w:rPr>
      </w:pPr>
      <w:r w:rsidRPr="00715DB9">
        <w:rPr>
          <w:rFonts w:ascii="Titillium" w:eastAsia="Times New Roman" w:hAnsi="Titillium" w:cs="Times New Roman"/>
          <w:sz w:val="8"/>
          <w:szCs w:val="8"/>
        </w:rPr>
        <w:t xml:space="preserve"> </w:t>
      </w:r>
    </w:p>
    <w:p w14:paraId="013DBC67" w14:textId="77777777" w:rsidR="00095A92" w:rsidRDefault="00095A92">
      <w:pPr>
        <w:spacing w:after="4" w:line="260" w:lineRule="auto"/>
        <w:ind w:left="-5" w:hanging="10"/>
        <w:jc w:val="both"/>
        <w:rPr>
          <w:rFonts w:ascii="Titillium" w:eastAsia="Times New Roman" w:hAnsi="Titillium" w:cs="Times New Roman"/>
          <w:sz w:val="8"/>
          <w:szCs w:val="8"/>
        </w:rPr>
      </w:pPr>
      <w:r w:rsidRPr="00B831F4">
        <w:rPr>
          <w:rFonts w:ascii="Titillium" w:eastAsia="Times New Roman" w:hAnsi="Titillium" w:cs="Times New Roman"/>
          <w:sz w:val="8"/>
          <w:szCs w:val="8"/>
          <w:vertAlign w:val="superscript"/>
        </w:rPr>
        <w:t>*</w:t>
      </w:r>
      <w:r w:rsidRPr="00B831F4">
        <w:rPr>
          <w:rFonts w:ascii="Titillium" w:eastAsia="Times New Roman" w:hAnsi="Titillium" w:cs="Times New Roman"/>
          <w:sz w:val="8"/>
          <w:szCs w:val="8"/>
        </w:rPr>
        <w:t xml:space="preserve"> Niepotrzebne skreślić. </w:t>
      </w:r>
    </w:p>
    <w:p w14:paraId="624ED49A" w14:textId="77777777" w:rsidR="00D94C03" w:rsidRDefault="00D94C03">
      <w:pPr>
        <w:spacing w:after="4" w:line="260" w:lineRule="auto"/>
        <w:ind w:left="-5" w:hanging="10"/>
        <w:jc w:val="both"/>
        <w:rPr>
          <w:rFonts w:ascii="Titillium" w:eastAsia="Times New Roman" w:hAnsi="Titillium" w:cs="Times New Roman"/>
          <w:sz w:val="8"/>
          <w:szCs w:val="8"/>
        </w:rPr>
      </w:pPr>
    </w:p>
    <w:p w14:paraId="3F1D13D1" w14:textId="77777777" w:rsidR="00D94C03" w:rsidRDefault="00D94C03" w:rsidP="00936193">
      <w:pPr>
        <w:spacing w:after="4" w:line="260" w:lineRule="auto"/>
        <w:jc w:val="both"/>
        <w:rPr>
          <w:rFonts w:ascii="Titillium" w:eastAsia="Times New Roman" w:hAnsi="Titillium" w:cs="Times New Roman"/>
          <w:sz w:val="8"/>
          <w:szCs w:val="8"/>
        </w:rPr>
      </w:pPr>
    </w:p>
    <w:p w14:paraId="384EF86C" w14:textId="77777777" w:rsidR="00715DB9" w:rsidRDefault="00715DB9" w:rsidP="00936193">
      <w:pPr>
        <w:spacing w:after="4" w:line="260" w:lineRule="auto"/>
        <w:jc w:val="both"/>
        <w:rPr>
          <w:rFonts w:ascii="Titillium" w:eastAsia="Times New Roman" w:hAnsi="Titillium" w:cs="Times New Roman"/>
          <w:sz w:val="8"/>
          <w:szCs w:val="8"/>
        </w:rPr>
      </w:pPr>
    </w:p>
    <w:p w14:paraId="38716321" w14:textId="77777777" w:rsidR="00095A92" w:rsidRPr="00D31C8C" w:rsidRDefault="00095A92" w:rsidP="00936193">
      <w:pPr>
        <w:spacing w:after="0"/>
        <w:ind w:right="110"/>
        <w:rPr>
          <w:rFonts w:ascii="Titillium" w:hAnsi="Titillium"/>
          <w:sz w:val="16"/>
          <w:szCs w:val="16"/>
        </w:rPr>
      </w:pPr>
    </w:p>
    <w:tbl>
      <w:tblPr>
        <w:tblStyle w:val="TableGrid"/>
        <w:tblW w:w="9648" w:type="dxa"/>
        <w:tblInd w:w="109" w:type="dxa"/>
        <w:tblCellMar>
          <w:top w:w="188" w:type="dxa"/>
          <w:left w:w="107" w:type="dxa"/>
          <w:bottom w:w="7" w:type="dxa"/>
          <w:right w:w="57" w:type="dxa"/>
        </w:tblCellMar>
        <w:tblLook w:val="04A0" w:firstRow="1" w:lastRow="0" w:firstColumn="1" w:lastColumn="0" w:noHBand="0" w:noVBand="1"/>
      </w:tblPr>
      <w:tblGrid>
        <w:gridCol w:w="2863"/>
        <w:gridCol w:w="6785"/>
      </w:tblGrid>
      <w:tr w:rsidR="00095A92" w:rsidRPr="00D31C8C" w14:paraId="77220EF0" w14:textId="77777777" w:rsidTr="00E07DBC">
        <w:trPr>
          <w:trHeight w:val="877"/>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tcPr>
          <w:p w14:paraId="7A6FCA4D" w14:textId="1CB92EF6" w:rsidR="00095A92" w:rsidRPr="00D31C8C" w:rsidRDefault="00095A92" w:rsidP="00E07DBC">
            <w:pPr>
              <w:jc w:val="both"/>
              <w:rPr>
                <w:rFonts w:ascii="Titillium" w:hAnsi="Titillium"/>
                <w:sz w:val="16"/>
                <w:szCs w:val="16"/>
              </w:rPr>
            </w:pPr>
            <w:r w:rsidRPr="00D31C8C">
              <w:rPr>
                <w:rFonts w:ascii="Titillium" w:eastAsia="Times New Roman" w:hAnsi="Titillium" w:cs="Times New Roman"/>
                <w:b/>
                <w:sz w:val="16"/>
                <w:szCs w:val="16"/>
              </w:rPr>
              <w:t xml:space="preserve">WARUNKI ODSTĄPIENIA OD UMOWY DEWELOPERSKIEJ LUB UMOWY, O KTÓREJ MOWA W ART. 2 UST. 1 PKT 2, 3 LUB 5 USTAWY Z DNIA 20 MAJA 2021 R. O OCHRONIE PRAW NABYWCY LOKALU MIESZKALNEGO LUB DOMU JEDNORODZINNEGO ORAZ DEWELOPERSKIM FUNDUSZU GWARANCYJNYM </w:t>
            </w:r>
          </w:p>
          <w:p w14:paraId="2DB0EA87" w14:textId="77777777" w:rsidR="00095A92" w:rsidRPr="00D31C8C" w:rsidRDefault="00095A92">
            <w:pPr>
              <w:rPr>
                <w:rFonts w:ascii="Titillium" w:hAnsi="Titillium"/>
                <w:sz w:val="16"/>
                <w:szCs w:val="16"/>
              </w:rPr>
            </w:pPr>
            <w:r w:rsidRPr="00D31C8C">
              <w:rPr>
                <w:rFonts w:ascii="Titillium" w:eastAsia="Times New Roman" w:hAnsi="Titillium" w:cs="Times New Roman"/>
                <w:b/>
                <w:sz w:val="16"/>
                <w:szCs w:val="16"/>
              </w:rPr>
              <w:t xml:space="preserve"> </w:t>
            </w:r>
          </w:p>
        </w:tc>
      </w:tr>
      <w:tr w:rsidR="00095A92" w:rsidRPr="00D31C8C" w14:paraId="1443D20B" w14:textId="77777777" w:rsidTr="00794ED2">
        <w:trPr>
          <w:trHeight w:val="653"/>
        </w:trPr>
        <w:tc>
          <w:tcPr>
            <w:tcW w:w="286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A3FB7B" w14:textId="27FCD32E" w:rsidR="00095A92" w:rsidRPr="00D31C8C" w:rsidRDefault="00095A92">
            <w:pPr>
              <w:spacing w:line="239" w:lineRule="auto"/>
              <w:ind w:right="101"/>
              <w:rPr>
                <w:rFonts w:ascii="Titillium" w:hAnsi="Titillium"/>
                <w:sz w:val="16"/>
                <w:szCs w:val="16"/>
              </w:rPr>
            </w:pPr>
            <w:r w:rsidRPr="00D31C8C">
              <w:rPr>
                <w:rFonts w:ascii="Titillium" w:eastAsia="Times New Roman" w:hAnsi="Titillium" w:cs="Times New Roman"/>
                <w:sz w:val="16"/>
                <w:szCs w:val="16"/>
              </w:rPr>
              <w:t xml:space="preserve">Warunki, na jakich można odstąpić od umowy deweloperskiej lub jednej z umów, o których mowa w art. 2 ust. 1 pkt 2, 3 lub 5 ustawy z dnia 20 maja 2021 r. o ochronie praw nabywcy lokalu mieszkalnego lub domu jednorodzinnego oraz </w:t>
            </w:r>
          </w:p>
          <w:p w14:paraId="5DF385E8" w14:textId="77777777" w:rsidR="00095A92" w:rsidRPr="00D31C8C" w:rsidRDefault="00095A92">
            <w:pPr>
              <w:rPr>
                <w:rFonts w:ascii="Titillium" w:hAnsi="Titillium"/>
                <w:sz w:val="16"/>
                <w:szCs w:val="16"/>
              </w:rPr>
            </w:pPr>
            <w:r w:rsidRPr="00D31C8C">
              <w:rPr>
                <w:rFonts w:ascii="Titillium" w:eastAsia="Times New Roman" w:hAnsi="Titillium" w:cs="Times New Roman"/>
                <w:sz w:val="16"/>
                <w:szCs w:val="16"/>
              </w:rPr>
              <w:lastRenderedPageBreak/>
              <w:t xml:space="preserve">Deweloperskim Funduszu </w:t>
            </w:r>
          </w:p>
          <w:p w14:paraId="62650898" w14:textId="77777777" w:rsidR="00095A92" w:rsidRPr="00D31C8C" w:rsidRDefault="00095A92">
            <w:pPr>
              <w:rPr>
                <w:rFonts w:ascii="Titillium" w:hAnsi="Titillium"/>
                <w:sz w:val="16"/>
                <w:szCs w:val="16"/>
              </w:rPr>
            </w:pPr>
            <w:r w:rsidRPr="00D31C8C">
              <w:rPr>
                <w:rFonts w:ascii="Titillium" w:eastAsia="Times New Roman" w:hAnsi="Titillium" w:cs="Times New Roman"/>
                <w:sz w:val="16"/>
                <w:szCs w:val="16"/>
              </w:rPr>
              <w:t xml:space="preserve">Gwarancyjnym </w:t>
            </w:r>
          </w:p>
        </w:tc>
        <w:tc>
          <w:tcPr>
            <w:tcW w:w="6785" w:type="dxa"/>
            <w:tcBorders>
              <w:top w:val="single" w:sz="4" w:space="0" w:color="000000"/>
              <w:left w:val="single" w:sz="4" w:space="0" w:color="000000"/>
              <w:bottom w:val="single" w:sz="4" w:space="0" w:color="000000"/>
              <w:right w:val="single" w:sz="4" w:space="0" w:color="000000"/>
            </w:tcBorders>
          </w:tcPr>
          <w:p w14:paraId="5F7C1A86" w14:textId="77777777" w:rsidR="00080102" w:rsidRDefault="00080102" w:rsidP="00080102">
            <w:pPr>
              <w:jc w:val="both"/>
              <w:rPr>
                <w:rFonts w:ascii="Titillium" w:hAnsi="Titillium"/>
                <w:sz w:val="16"/>
                <w:szCs w:val="16"/>
              </w:rPr>
            </w:pPr>
            <w:r>
              <w:rPr>
                <w:rFonts w:ascii="Titillium" w:hAnsi="Titillium"/>
                <w:sz w:val="16"/>
                <w:szCs w:val="16"/>
              </w:rPr>
              <w:lastRenderedPageBreak/>
              <w:t xml:space="preserve">Zgodnie   z art. 43 ustawy z dnia 20 maja 2021 roku o ochronie praw nabywcy lokalu   mieszkalnego lub domu jednorodzinnego oraz Deweloperskim Funduszu Gwarancyjnym (Dz. U. 2021 </w:t>
            </w:r>
            <w:proofErr w:type="spellStart"/>
            <w:r>
              <w:rPr>
                <w:rFonts w:ascii="Titillium" w:hAnsi="Titillium"/>
                <w:sz w:val="16"/>
                <w:szCs w:val="16"/>
              </w:rPr>
              <w:t>poz</w:t>
            </w:r>
            <w:proofErr w:type="spellEnd"/>
            <w:r>
              <w:rPr>
                <w:rFonts w:ascii="Titillium" w:hAnsi="Titillium"/>
                <w:sz w:val="16"/>
                <w:szCs w:val="16"/>
              </w:rPr>
              <w:t xml:space="preserve"> 1177) Nabywca ma prawo odstąpić od umowy   deweloperskiej albo umowy, o której mowa w art. 2 ust. 1 pkt 2, 3 lub 5:</w:t>
            </w:r>
          </w:p>
          <w:p w14:paraId="3712823D" w14:textId="77777777" w:rsidR="00080102" w:rsidRDefault="00080102" w:rsidP="00080102">
            <w:pPr>
              <w:jc w:val="both"/>
              <w:rPr>
                <w:rFonts w:ascii="Titillium" w:hAnsi="Titillium"/>
                <w:sz w:val="16"/>
                <w:szCs w:val="16"/>
              </w:rPr>
            </w:pPr>
            <w:r>
              <w:rPr>
                <w:rFonts w:ascii="Titillium" w:hAnsi="Titillium"/>
                <w:sz w:val="16"/>
                <w:szCs w:val="16"/>
              </w:rPr>
              <w:t>1) jeżeli umowa deweloperska albo umowa, o której mowa w art. 2 ust. 1 pkt 2, 3 lub 5, nie zawiera odpowiednio   elementów, o których mowa w art. 35, albo elementów, o których mowa w art.   36;</w:t>
            </w:r>
          </w:p>
          <w:p w14:paraId="5C1B25CA" w14:textId="77777777" w:rsidR="00080102" w:rsidRDefault="00080102" w:rsidP="00080102">
            <w:pPr>
              <w:jc w:val="both"/>
              <w:rPr>
                <w:rFonts w:ascii="Titillium" w:hAnsi="Titillium"/>
                <w:sz w:val="16"/>
                <w:szCs w:val="16"/>
              </w:rPr>
            </w:pPr>
            <w:r>
              <w:rPr>
                <w:rFonts w:ascii="Titillium" w:hAnsi="Titillium"/>
                <w:sz w:val="16"/>
                <w:szCs w:val="16"/>
              </w:rPr>
              <w:t>Umowa deweloperska zawiera w szczególności:</w:t>
            </w:r>
          </w:p>
          <w:p w14:paraId="1885A91A" w14:textId="77777777" w:rsidR="00080102" w:rsidRPr="00080102" w:rsidRDefault="00080102" w:rsidP="00080102">
            <w:pPr>
              <w:jc w:val="both"/>
              <w:rPr>
                <w:rFonts w:ascii="Titillium" w:hAnsi="Titillium"/>
                <w:sz w:val="16"/>
                <w:szCs w:val="16"/>
              </w:rPr>
            </w:pPr>
            <w:r>
              <w:rPr>
                <w:rFonts w:ascii="Titillium" w:hAnsi="Titillium"/>
                <w:sz w:val="16"/>
                <w:szCs w:val="16"/>
              </w:rPr>
              <w:lastRenderedPageBreak/>
              <w:t xml:space="preserve">1) określenie stron, miejsca i   daty zawarcia umowy deweloperskiej; 2) cenę nabycia praw wynikających z umowy   deweloperskiej; 3) informację o nieruchomości, na której ma być   przeprowadzone przedsięwzięcie deweloperskie lub zadanie inwestycyjne, obejmującą informację o powierzchni działki, stanie prawnym nieruchomości, w szczególności oznaczenie właściciela lub użytkownika wieczystego, istniejących na niej obciążeniach hipotecznych i służebnościach; 4) określenie położenia oraz istotnych cech domu jednorodzinnego, będącego   przedmiotem umowy deweloperskiej, lub budynku, w którym ma znajdować się   lokal mieszkalny będący przedmiotem tej umowy; 5) określenie usytuowania   lokalu mieszkalnego w budynku; 6) określenie powierzchni użytkowej lokalu   mieszkalnego albo domu jednorodzinnego, powierzchni i układu pomieszczeń oraz zakresu i standardu prac wykończeniowych, do których wykonania zobowiązuje się deweloper; 7) termin przeniesienia na nabywcę praw wynikających z umowy deweloperskiej;   8) zobowiązanie nabywcy do spełnienia świadczenia pieniężnego wynikającego z   umowy deweloperskiej; 9) wysokość, terminy i sposób dokonywania wpłat na   mieszkaniowy rachunek powierniczy, zgodnie z zasadami określonymi w art. 8; 10)  informacje dotyczące: a) mieszkaniowego rachunku powierniczego, w szczególności nazwę banku, numer rachunku, zasady dysponowania środkami pieniężnymi   zgromadzonymi na rachunku oraz informację o kosztach prowadzenia rachunku, b)  naliczania i przekazywania składek na Deweloperski Fundusz Gwarancyjny; 11)   numer pozwolenia na budowę, oznaczenie organu, który je wydał, oraz   informację, czy jest ostateczne lub czy zostało zaskarżone, albo numer   zgłoszenia budowy, o której mowa w art. 29 ust. 1 pkt 1 ustawy z dnia 7 lipca   1994 r. – Prawo budowlane, oraz oznaczenie organu, do którego dokonano   zgłoszenia, wraz z informacją o braku wniesienia sprzeciwu przez ten organ; 12) termin rozpoczęcia i zakończenia robót budowlanych danego przedsięwzięcia   deweloperskiego lub zadania inwestycyjnego; 13) określenie warunków   odstąpienia od umowy deweloperskiej, o których mowa w art. 43, a także   warunków zwrotu środków pieniężnych wpłaconych przez nabywcę na mieszkaniowy   rachunek powierniczy w razie skorzystania z tego prawa; 14) określenie   wysokości odsetek i kar umownych dla stron umowy deweloperskiej, jeżeli   strony to przewidziały; 15) wskazanie sposobu pomiaru powierzchni użytkowej lokalu mieszkalnego albo domu jednorodzinnego; 16) oświadczenie nabywcy o odbiorze prospektu informacyjnego wraz z załącznikami i zapoznaniu się przez   nabywcę z ich treścią oraz poinformowaniu nabywcy przez dewelopera o   możliwości zapoznania się w lokalu przedsiębiorstwa z dokumentami, o których   mowa w art. 26 ust. 1 i 2; 17) termin i sposób zawiadomienia nabywcy o odbiorze lokalu mieszkalnego albo domu jednorodzinnego oraz termin </w:t>
            </w:r>
            <w:r w:rsidRPr="00080102">
              <w:rPr>
                <w:rFonts w:ascii="Titillium" w:hAnsi="Titillium"/>
                <w:sz w:val="16"/>
                <w:szCs w:val="16"/>
              </w:rPr>
              <w:t>odbioru   lokalu mieszkalnego albo domu jednorodzinnego; 18) informację o zgodzie lub   zobowiązaniu do jej udzielenia, o których mowa w art. 25 ust. 1 pkt 1; 19)   zobowiązanie dewelopera do wybudowania budynku oraz ustanowienia odrębnej   własności lokalu mieszkalnego i przeniesienia własności tego lokalu oraz praw   niezbędnych do korzystania z tego lokalu na nabywcę albo przeniesienia na nabywcę własności nieruchomości wraz z domem jednorodzinnym lub użytkowania wieczystego nieruchomości gruntowej i własności domu jednorodzinnego stanowiącego odrębną nieruchomość lub przeniesienia ułamkowej części własności nieruchomości wraz z prawem do wyłącznego korzystania z części nieruchomości służącej zaspokajaniu potrzeb mieszkaniowych; 20) informację o zawarciu umowy rezerwacyjnej i wysokości opłaty rezerwacyjnej albo o braku   takiej umowy. 2. W przypadku zmian, które zostały wprowadzone przez dewelopera w treści prospektu informacyjnego lub jego załącznikach w czasie między doręczeniem prospektu informacyjnego wraz z załącznikami a zawarciem  umowy deweloperskiej, w treści umowy deweloperskiej postanowienia wynikające   z tych zmian podkreśla się wyraźnie w sposób jednoznaczny i widoczny. 3. Zmiany w treści umowy deweloperskiej, o których mowa w ust. 2, wiążą nabywcę   tylko wtedy, gdy wyraził zgodę na włączenie ich do treści umowy. 4. Umowa dotycząca lokalu użytkowego, o której mowa w art. 2 ust. 2, zawiera w   szczególności: 1) określenie stron, miejsca i daty zawarcia umowy; 2) cenę   nabycia prawa wynikającego z umowy; 3) określenie położenia oraz istotnych   cech lokalu użytkowego będącego przedmiotem umowy; 4) określenie powierzchni   lokalu użytkowego i standardu prac wykończeniowych, do których wykonania   zobowiązuje się deweloper; 5) termin przeniesienia na nabywcę prawa wynikającego z umowy; 6) zobowiązanie nabywcy do spełnienia świadczenia pieniężnego wynikającego z umowy; 7) wysokość, terminy i sposób dokonywania   wpłat na mieszkaniowy rachunek powierniczy, zgodnie z zasadami określonymi w  art. 8; 8) termin i sposób zawiadomienia nabywcy o odbiorze lokalu użytkowego oraz termin odbioru lokalu użytkowego; 9) informację o zgodzie lub zobowiązaniu do jej udzielenia, o których mowa w art. 25 ust. 1 pkt 2; 10) zobowiązanie dewelopera do: a) wybudowania budynku i przeniesienia własności lokalu użytkowego, b) przeniesienia własności lokalu użytkowego, c) wybudowania budynku i przeniesienia ułamkowej części własności lokalu   użytkowego, d) przeniesienia ułamkowej części własności lokalu użytkowego;</w:t>
            </w:r>
          </w:p>
          <w:p w14:paraId="5AB50171" w14:textId="77777777" w:rsidR="00080102" w:rsidRPr="00080102" w:rsidRDefault="00080102" w:rsidP="00080102">
            <w:pPr>
              <w:jc w:val="both"/>
              <w:rPr>
                <w:rFonts w:ascii="Titillium" w:hAnsi="Titillium"/>
                <w:sz w:val="16"/>
                <w:szCs w:val="16"/>
              </w:rPr>
            </w:pPr>
            <w:r w:rsidRPr="00080102">
              <w:rPr>
                <w:rFonts w:ascii="Titillium" w:hAnsi="Titillium"/>
                <w:sz w:val="16"/>
                <w:szCs w:val="16"/>
              </w:rPr>
              <w:t>11) odpowiednio postanowienia, o których mowa w ust. 1 pkt 3, 5, 10–12 i 14–16. 5. Do umowy dotyczącej lokalu   użytkowego, o której mowa w art. 2 ust. 2, stosuje się odpowiednio przepisy   ust. 2 i 3.</w:t>
            </w:r>
          </w:p>
          <w:p w14:paraId="6D053253" w14:textId="77777777" w:rsidR="00080102" w:rsidRPr="00080102" w:rsidRDefault="00080102" w:rsidP="00080102">
            <w:pPr>
              <w:jc w:val="both"/>
              <w:rPr>
                <w:rFonts w:ascii="Titillium" w:hAnsi="Titillium"/>
                <w:sz w:val="16"/>
                <w:szCs w:val="16"/>
              </w:rPr>
            </w:pPr>
            <w:r w:rsidRPr="00080102">
              <w:rPr>
                <w:rFonts w:ascii="Titillium" w:hAnsi="Titillium"/>
                <w:sz w:val="16"/>
                <w:szCs w:val="16"/>
              </w:rPr>
              <w:t xml:space="preserve">Umowy, o których mowa w art. 2   ust. 1 pkt 2, 3 lub 5, zawierają w szczególności: 1) określenie stron,  miejsca i daty zawarcia umowy; 2) cenę nabycia praw wynikających z umowy; 3) zobowiązanie dewelopera do: a) ustanowienia odrębnej własności lokalu mieszkalnego i przeniesienia własności tego lokalu oraz praw niezbędnych do   korzystania z tego lokalu na nabywcę albo b) przeniesienia na nabywcę   własności lokalu mieszkalnego oraz praw niezbędnych </w:t>
            </w:r>
            <w:r w:rsidRPr="00080102">
              <w:rPr>
                <w:rFonts w:ascii="Titillium" w:hAnsi="Titillium"/>
                <w:sz w:val="16"/>
                <w:szCs w:val="16"/>
              </w:rPr>
              <w:lastRenderedPageBreak/>
              <w:t>do korzystania z tego   lokalu, albo c) przeniesienia na nabywcę własności nieruchomości zabudowanej   domem jednorodzinnym lub użytkowania wieczystego nieruchomości gruntowej i własności domu jednorodzinnego na niej posadowionego stanowiącego odrębną nieruchomość lub przeniesienia ułamkowej części własności tej nieruchomości wraz z prawem do wyłącznego korzystania z części nieruchomości służącej zaspokajaniu potrzeb mieszkaniowych; 4) zobowiązanie nabywcy do spełnienia   świadczenia pieniężnego wynikającego z umowy; 5) termin przeniesienia na   nabywcę praw wynikających z umowy; 6) datę uprawomocnienia się decyzji o pozwoleniu na użytkowanie – w przypadku umowy zawierającej zobowiązania, o   których mowa w pkt 3 lit. a oraz b; 7) wskazanie dnia, z upływem którego   minął termin na wniesienie sprzeciwu przez organ nadzoru budowlanego do   zawiadomienia o zakończeniu budowy – w przypadku umowy zawierającej zobowiązanie, o którym mowa w pkt 3 lit. c; 8) datę wydania zaświadczenia o   samodzielności lokalu – w przypadku umowy zawierającej zobowiązanie, o którym   mowa w pkt 3 lit. a oraz b; 9) datę ustanowienia odrębnej własności lokalu –   w przypadku umowy zawierającej zobowiązanie, o którym mowa w pkt 3 lit. b; 10)   odpowiednio postanowienia, o których mowa w art. 35 ust. 1 pkt 3–6, 9–18 i   20. 2. Do umów, o których mowa w art. 2 ust. 1 pkt 2, 3 lub 5, stosuje się odpowiednio przepisy art. 35 ust. 2 i 3. 3. Do umowy, o której mowa w art. 2   ust. 2, zawartej wraz z jedną z umów, o których mowa w art. 2 ust. 1 pkt 2, 3   lub 5, stosuje się przepisy art. 35 ust. 4.</w:t>
            </w:r>
          </w:p>
          <w:p w14:paraId="7B689807" w14:textId="77777777" w:rsidR="00080102" w:rsidRPr="00080102" w:rsidRDefault="00080102" w:rsidP="00080102">
            <w:pPr>
              <w:jc w:val="both"/>
              <w:rPr>
                <w:rFonts w:ascii="Titillium" w:hAnsi="Titillium"/>
                <w:sz w:val="16"/>
                <w:szCs w:val="16"/>
              </w:rPr>
            </w:pPr>
            <w:r w:rsidRPr="00080102">
              <w:rPr>
                <w:rFonts w:ascii="Titillium" w:hAnsi="Titillium"/>
                <w:sz w:val="16"/>
                <w:szCs w:val="16"/>
              </w:rPr>
              <w:t xml:space="preserve">Nabywca ma prawo odstąpić od   umowy deweloperskiej albo umowy, o której mowa w art. 2 ust. 1 pkt 2,3 lub 5: 1) jeżeli umowa deweloperska albo umowa, o której mowa w art. 2 ust. 1 pkt 2, 3 lub 5, nie zawiera odpowiednio elementów, o których mowa w art. 35, albo elementów, o których mowa w art. 36; 2) jeżeli informacje zawarte w umowie deweloperskiej  albo umowie, o której mowa w art. 2 ust. 1 pkt 2, 3 lub 5, nie są zgodne z   informacjami zawartymi w prospekcie informacyjnym lub jego załącznikach, z   wyjątkiem zmian, o których mowa w art. 35 ust. 2; 3) jeżeli deweloper nie doręczył zgodnie z art. 21 lub art. 22 prospektu informacyjnego wraz z   załącznikami lub informacji o zmianie danych lub informacji zawartych w   prospekcie informacyjnym lub jego załącznikach; 4) jeżeli dane lub informacje zawarte w prospekcie informacyjnym lub jego załącznikach, na podstawie   których zawarto umowę deweloperską albo umowę, o której mowa w art. 2 ust. 1 pkt 2, 3 lub 5, są niezgodne ze stanem faktycznym lub prawnym w dniu zawarcia umowy; 5) jeżeli prospekt informacyjny, na podstawie którego zawarto umowę   deweloperską albo umowę, o której mowa w art. 2 ust. 1 pkt 2, 3 lub 5, nie zawiera danych lub informacji określonych we wzorze prospektu informacyjnego;   6) w przypadku </w:t>
            </w:r>
            <w:proofErr w:type="spellStart"/>
            <w:r w:rsidRPr="00080102">
              <w:rPr>
                <w:rFonts w:ascii="Titillium" w:hAnsi="Titillium"/>
                <w:sz w:val="16"/>
                <w:szCs w:val="16"/>
              </w:rPr>
              <w:t>nieprzeniesienia</w:t>
            </w:r>
            <w:proofErr w:type="spellEnd"/>
            <w:r w:rsidRPr="00080102">
              <w:rPr>
                <w:rFonts w:ascii="Titillium" w:hAnsi="Titillium"/>
                <w:sz w:val="16"/>
                <w:szCs w:val="16"/>
              </w:rPr>
              <w:t xml:space="preserve"> na nabywcę praw wynikających z umowy deweloperskiej albo umowy, o której mowa w art. 2 ust. 1 pkt 2, 3 lub 5, w terminie wynikającym z tych umów;  7) w przypadku gdy deweloper nie zawrze umowy mieszkaniowego rachunku powierniczego z innym bankiem w trybie i terminie, o których mowa w art. 10   ust. 1; 8) w przypadku gdy deweloper nie posiada zgody wierzyciela   hipotecznego lub zobowiązania do jej udzielenia, o których mowa w art. 25   ust. 1 pkt 1 lub 2; 9) w przypadku niewykonania przez dewelopera obowiązku, o   którym mowa w art. 12 ust. 2, w terminie określonym w tym przepisie; 10) w   przypadku nieusunięcia przez dewelopera wady istotnej lokalu mieszkalnego albo domu jednorodzinnego na zasadach określonych w art. 41 ust. 11; 11) w przypadku stwierdzenia przez rzeczoznawcę istnienia wady istotnej, o którym   mowa w art. 41 ust. 15; 12) jeżeli syndyk zażądał wykonania umowy na  podstawie art. 98 ustawy z dnia 28 lutego 2003 r. – Prawo upadłościowe. 2. W   przypadkach, o których mowa w ust. 1 pkt 1–5, nabywca ma prawo odstąpienia od   umowy deweloperskiej albo umowy, o której mowa w art. 2 ust. 1 pkt 2, 3 lub 5, w terminie 30 dni od dnia jej zawarcia. 3. W przypadku, o którym mowa w ust. 1 pkt 6, przed skorzystaniem z prawa do odstąpienia od umowy nabywca wyznacza deweloperowi 120-dniowy termin na przeniesienie praw wynikających z umowy deweloperskiej albo umowy, o  której mowa w art. 2 ust. 1 pkt 2, 3 lub 5, a w razie bezskutecznego upływu wyznaczonego terminu jest uprawniony do odstąpienia od tej umowy. Nabywca   zachowuje roszczenie z tytułu kary umownej za okres opóźnienia. 4. W   przypadku, o którym mowa w ust. 1 pkt 7, nabywca ma prawo odstąpienia od  umowy deweloperskiej albo umowy, o której mowa w art. 2 ust. 1 pkt 2, 3 lub 5, po dokonaniu przez bank zwrotu środków zgodnie z art. 10 ust. 3. 5. W   przypadku, o którym mowa w ust. 1 pkt 8, nabywca ma prawo odstąpienia od   umowy deweloperskiej albo umowy, o której mowa w art. 2 ust. 1 pkt 2, 3 lub   5, w terminie 60 dni od dnia jej zawarcia. 6. W przypadku, o którym mowa w   ust. 1 pkt 9, nabywca ma prawo odstąpienia od umowy deweloperskiej albo umowy,   o której mowa w art. 2 ust. 1 pkt 2, 3 lub 5, po upływie 60 dni od dnia   podania do publicznej wiadomości informacji, o których mowa w art. 12 ust. 1.   7. Deweloper ma prawo odstąpić od umowy deweloperskiej albo umowy, o której   mowa w art. 2 ust. 1 pkt 2, 3 lub 5, 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 8. Deweloper ma prawo odstąpić od umowy deweloperskiej albo umowy, o której mowa w art. 2 ust. 1 pkt 2, 3 lub 5, w przypadku niestawienia się nabywcy do odbioru lokalu mieszkalnego albo domu jednorodzinnego lub podpisania aktu notarialnego   przenoszącego na nabywcę prawa wynikające z umowy deweloperskiej albo umowy,   o której mowa w art. 2 ust. 1 pkt 2, 3 lub 5, mimo dwukrotnego doręczenia  wezwania w formie pisemnej w odstępie co najmniej 60 dni, chyba że   niestawienie się nabywcy jest spowodowane działaniem siły wyższej.</w:t>
            </w:r>
          </w:p>
          <w:p w14:paraId="769D4ABD" w14:textId="77777777" w:rsidR="00080102" w:rsidRPr="00080102" w:rsidRDefault="00080102" w:rsidP="00080102">
            <w:pPr>
              <w:jc w:val="both"/>
              <w:rPr>
                <w:rFonts w:ascii="Titillium" w:hAnsi="Titillium"/>
                <w:sz w:val="16"/>
                <w:szCs w:val="16"/>
              </w:rPr>
            </w:pPr>
            <w:r w:rsidRPr="00080102">
              <w:rPr>
                <w:rFonts w:ascii="Titillium" w:hAnsi="Titillium"/>
                <w:sz w:val="16"/>
                <w:szCs w:val="16"/>
              </w:rPr>
              <w:lastRenderedPageBreak/>
              <w:t xml:space="preserve">Zgodnie z art. 43 ustawy z dnia   20 maja 2021 roku o ochronie praw nabywcy lokalu mieszkalnego lub domu   jednorodzinnego oraz Deweloperskim Funduszu Gwarancyjnym (Dz. U. 2021 </w:t>
            </w:r>
            <w:proofErr w:type="spellStart"/>
            <w:r w:rsidRPr="00080102">
              <w:rPr>
                <w:rFonts w:ascii="Titillium" w:hAnsi="Titillium"/>
                <w:sz w:val="16"/>
                <w:szCs w:val="16"/>
              </w:rPr>
              <w:t>poz</w:t>
            </w:r>
            <w:proofErr w:type="spellEnd"/>
            <w:r w:rsidRPr="00080102">
              <w:rPr>
                <w:rFonts w:ascii="Titillium" w:hAnsi="Titillium"/>
                <w:sz w:val="16"/>
                <w:szCs w:val="16"/>
              </w:rPr>
              <w:t xml:space="preserve">   1177) Nabywca ma prawo odstąpić od umowy deweloperskiej albo umowy, o której mowa   w art. 2 ust. 1 pkt 2, 3 lub 5:</w:t>
            </w:r>
          </w:p>
          <w:p w14:paraId="0B491ACA" w14:textId="77777777" w:rsidR="00080102" w:rsidRPr="00080102" w:rsidRDefault="00080102" w:rsidP="00080102">
            <w:pPr>
              <w:jc w:val="both"/>
              <w:rPr>
                <w:rFonts w:ascii="Titillium" w:hAnsi="Titillium"/>
                <w:sz w:val="16"/>
                <w:szCs w:val="16"/>
              </w:rPr>
            </w:pPr>
            <w:r w:rsidRPr="00080102">
              <w:rPr>
                <w:rFonts w:ascii="Titillium" w:hAnsi="Titillium"/>
                <w:sz w:val="16"/>
                <w:szCs w:val="16"/>
              </w:rPr>
              <w:t>1) jeżeli umowa deweloperska albo umowa, o której mowa w art. 2 ust. 1 pkt 2, 3 lub 5, nie zawiera odpowiednio   elementów, o których mowa w art. 35, albo elementów, o których mowa w art.   36;</w:t>
            </w:r>
          </w:p>
          <w:p w14:paraId="0E95810A" w14:textId="77777777" w:rsidR="00080102" w:rsidRPr="00080102" w:rsidRDefault="00080102" w:rsidP="00080102">
            <w:pPr>
              <w:jc w:val="both"/>
              <w:rPr>
                <w:rFonts w:ascii="Titillium" w:hAnsi="Titillium"/>
                <w:sz w:val="16"/>
                <w:szCs w:val="16"/>
              </w:rPr>
            </w:pPr>
            <w:r w:rsidRPr="00080102">
              <w:rPr>
                <w:rFonts w:ascii="Titillium" w:hAnsi="Titillium"/>
                <w:sz w:val="16"/>
                <w:szCs w:val="16"/>
              </w:rPr>
              <w:t>Umowa deweloperska zawiera w   szczególności:</w:t>
            </w:r>
          </w:p>
          <w:p w14:paraId="18842551" w14:textId="77777777" w:rsidR="00080102" w:rsidRPr="00080102" w:rsidRDefault="00080102" w:rsidP="00080102">
            <w:pPr>
              <w:jc w:val="both"/>
              <w:rPr>
                <w:rFonts w:ascii="Titillium" w:hAnsi="Titillium"/>
                <w:sz w:val="16"/>
                <w:szCs w:val="16"/>
              </w:rPr>
            </w:pPr>
            <w:r w:rsidRPr="00080102">
              <w:rPr>
                <w:rFonts w:ascii="Titillium" w:hAnsi="Titillium"/>
                <w:sz w:val="16"/>
                <w:szCs w:val="16"/>
              </w:rPr>
              <w:t>1) określenie stron, miejsca i daty zawarcia umowy deweloperskiej; 2) cenę nabycia praw wynikających z umowy   deweloperskiej; 3) informację o nieruchomości, na której ma być   przeprowadzone przedsięwzięcie deweloperskie lub zadanie inwestycyjne, obejmującą informację o powierzchni działki, stanie prawnym nieruchomości, w   szczególności oznaczenie właściciela lub użytkownika wieczystego,   istniejących na niej obciążeniach hipotecznych i służebnościach; 4) określenie położenia oraz istotnych cech domu jednorodzinnego, będącego   przedmiotem umowy deweloperskiej, lub budynku, w którym ma znajdować się   lokal mieszkalny będący przedmiotem tej umowy; 5) określenie usytuowania   lokalu mieszkalnego w budynku; 6) określenie powierzchni użytkowej lokalu mieszkalnego albo domu jednorodzinnego, powierzchni i układu pomieszczeń oraz zakresu i standardu prac wykończeniowych, do których wykonania zobowiązuje się deweloper; 7) termin przeniesienia na nabywcę praw wynikających z umowy   deweloperskiej; 8) zobowiązanie nabywcy do spełnienia świadczenia pieniężnego   wynikającego z umowy deweloperskiej; 9) wysokość, terminy i sposób   dokonywania wpłat na mieszkaniowy rachunek powierniczy, zgodnie z zasadami   określonymi w art. 8; 10) informacje dotyczące: a) mieszkaniowego rachunku powierniczego, w szczególności nazwę banku, numer rachunku, zasady   dysponowania środkami pieniężnymi zgromadzonymi na rachunku oraz informację o   kosztach prowadzenia rachunku, b) naliczania i przekazywania składek na Deweloperski Fundusz Gwarancyjny; 11) numer pozwolenia na budowę, oznaczenie   organu, który je wydał, oraz informację, czy jest ostateczne lub czy zostało   zaskarżone, albo numer zgłoszenia budowy, o której mowa w art. 29 ust. 1 pkt   1 ustawy z dnia 7 lipca 1994 r. – Prawo budowlane, oraz oznaczenie organu, do   którego dokonano zgłoszenia, wraz z informacją o braku wniesienia sprzeciwu   przez ten organ; 12) termin rozpoczęcia i zakończenia robót budowlanych   danego przedsięwzięcia deweloperskiego lub zadania inwestycyjnego; 13)   określenie warunków odstąpienia od umowy deweloperskiej, o których mowa w art. 43, a także warunków zwrotu środków pieniężnych wpłaconych przez nabywcę   na mieszkaniowy rachunek powierniczy w razie skorzystania z tego prawa; 14)   określenie wysokości odsetek i kar umownych dla stron umowy deweloperskiej,   jeżeli strony to przewidziały; 15) wskazanie sposobu pomiaru powierzchni   użytkowej lokalu mieszkalnego albo domu jednorodzinnego; 16) oświadczenie nabywcy o odbiorze prospektu informacyjnego wraz z załącznikami i zapoznaniu się przez nabywcę z ich treścią oraz poinformowaniu nabywcy przez dewelopera   o możliwości zapoznania się w lokalu przedsiębiorstwa z dokumentami, o   których mowa w art. 26 ust. 1 i 2; 17) termin i sposób zawiadomienia nabywcy o odbiorze lokalu mieszkalnego albo domu jednorodzinnego oraz termin odbioru lokalu mieszkalnego albo domu jednorodzinnego; 18) informację o zgodzie lub   zobowiązaniu do jej udzielenia, o których mowa w art. 25 ust. 1 pkt 1; 19) zobowiązanie dewelopera do wybudowania budynku oraz ustanowienia odrębnej własności   lokalu mieszkalnego i przeniesienia własności tego lokalu oraz praw   niezbędnych do korzystania z tego lokalu na nabywcę albo przeniesienia na nabywcę własności nieruchomości wraz z domem jednorodzinnym lub użytkowania wieczystego nieruchomości gruntowej i własności domu jednorodzinnego   stanowiącego odrębną nieruchomość lub przeniesienia ułamkowej części własności nieruchomości wraz z prawem do wyłącznego korzystania z części nieruchomości służącej zaspokajaniu potrzeb mieszkaniowych; 20) informację o zawarciu umowy rezerwacyjnej i wysokości opłaty rezerwacyjnej albo o braku   takiej umowy. 2. W przypadku zmian, które zostały wprowadzone przez  dewelopera w treści prospektu informacyjnego lub jego załącznikach w czasie między doręczeniem prospektu informacyjnego wraz z załącznikami a zawarciem   umowy deweloperskiej, w treści umowy deweloperskiej postanowienia wynikające   z tych zmian podkreśla się wyraźnie w sposób jednoznaczny i widoczny. 3.  Zmiany w treści umowy deweloperskiej, o których mowa w ust. 2, wiążą nabywcę   tylko wtedy, gdy wyraził zgodę na włączenie ich do treści umowy. 4. Umowa   dotycząca lokalu użytkowego, o której mowa w art. 2 ust. 2, zawiera w szczególności: 1) określenie stron, miejsca i daty zawarcia umowy; 2) cenę   nabycia prawa wynikającego z umowy; 3) określenie położenia oraz istotnych   cech lokalu użytkowego będącego przedmiotem umowy; 4) określenie powierzchni   lokalu użytkowego i standardu prac wykończeniowych, do których wykonania zobowiązuje się deweloper; 5) termin przeniesienia na nabywcę prawa   wynikającego z umowy; 6) zobowiązanie nabywcy do spełnienia świadczenia pieniężnego wynikającego z umowy; 7) wysokość, terminy i sposób dokonywania   wpłat na mieszkaniowy rachunek powierniczy, zgodnie z zasadami określonymi w art. 8; 8) termin i sposób zawiadomienia nabywcy o odbiorze lokalu użytkowego   oraz termin odbioru lokalu użytkowego; 9) informację o zgodzie lub   zobowiązaniu do jej udzielenia, o których mowa w art. 25 ust. 1 pkt 2; 10) zobowiązanie dewelopera do: a) wybudowania budynku i przeniesienia własności   lokalu użytkowego, b) przeniesienia własności lokalu użytkowego, c) wybudowania budynku i przeniesienia ułamkowej części własności lokalu użytkowego, d) przeniesienia ułamkowej części własności lokalu użytkowego;</w:t>
            </w:r>
          </w:p>
          <w:p w14:paraId="20984F3F" w14:textId="77777777" w:rsidR="00080102" w:rsidRPr="00080102" w:rsidRDefault="00080102" w:rsidP="00080102">
            <w:pPr>
              <w:jc w:val="both"/>
              <w:rPr>
                <w:rFonts w:ascii="Titillium" w:hAnsi="Titillium"/>
                <w:sz w:val="16"/>
                <w:szCs w:val="16"/>
              </w:rPr>
            </w:pPr>
            <w:r w:rsidRPr="00080102">
              <w:rPr>
                <w:rFonts w:ascii="Titillium" w:hAnsi="Titillium"/>
                <w:sz w:val="16"/>
                <w:szCs w:val="16"/>
              </w:rPr>
              <w:lastRenderedPageBreak/>
              <w:t>11) odpowiednio postanowienia, o  których mowa w ust. 1 pkt 3, 5, 10–12 i 14–16. 5. Do umowy dotyczącej lokalu   użytkowego, o której mowa w art. 2 ust. 2, stosuje się odpowiednio przepisy   ust. 2 i 3.</w:t>
            </w:r>
          </w:p>
          <w:p w14:paraId="0E24EDEB" w14:textId="77777777" w:rsidR="00080102" w:rsidRPr="00080102" w:rsidRDefault="00080102" w:rsidP="00080102">
            <w:pPr>
              <w:jc w:val="both"/>
              <w:rPr>
                <w:rFonts w:ascii="Titillium" w:hAnsi="Titillium"/>
                <w:sz w:val="16"/>
                <w:szCs w:val="16"/>
              </w:rPr>
            </w:pPr>
            <w:r w:rsidRPr="00080102">
              <w:rPr>
                <w:rFonts w:ascii="Titillium" w:hAnsi="Titillium"/>
                <w:sz w:val="16"/>
                <w:szCs w:val="16"/>
              </w:rPr>
              <w:t>Umowy, o których mowa w art. 2   ust. 1 pkt 2, 3 lub 5, zawierają w szczególności: 1) określenie stron,  miejsca i daty zawarcia umowy; 2) cenę nabycia praw wynikających z umowy; 3) zobowiązanie dewelopera do: a) ustanowienia odrębnej własności lokalu mieszkalnego i przeniesienia własności tego lokalu oraz praw niezbędnych do korzystania z tego lokalu na nabywcę albo b) przeniesienia na nabywcę własności lokalu   mieszkalnego oraz praw niezbędnych do korzystania z tego lokalu, albo c)   przeniesienia na nabywcę własności nieruchomości zabudowanej domem   jednorodzinnym lub użytkowania wieczystego nieruchomości gruntowej i własności domu jednorodzinnego na niej posadowionego stanowiącego odrębną nieruchomość lub przeniesienia ułamkowej części własności tej nieruchomości wraz z prawem do wyłącznego korzystania z części nieruchomości służącej zaspokajaniu potrzeb mieszkaniowych; 4) zobowiązanie nabywcy do spełnienia   świadczenia pieniężnego wynikającego z umowy; 5) termin przeniesienia na   nabywcę praw wynikających z umowy; 6) datę uprawomocnienia się decyzji o pozwoleniu na użytkowanie – w przypadku umowy zawierającej zobowiązania, o   których mowa w pkt 3 lit. a oraz b; 7) wskazanie dnia, z upływem którego   minął termin na wniesienie sprzeciwu przez organ nadzoru budowlanego do   zawiadomienia o zakończeniu budowy – w przypadku umowy zawierającej zobowiązanie, o którym mowa w pkt 3 lit. c; 8) datę wydania zaświadczenia o   samodzielności lokalu – w przypadku umowy zawierającej zobowiązanie, o którym   mowa w pkt 3 lit. a oraz b; 9) datę ustanowienia odrębnej własności lokalu –   w przypadku umowy zawierającej zobowiązanie, o którym mowa w pkt 3 lit. b;   10) odpowiednio postanowienia, o których mowa w art. 35 ust. 1 pkt 3–6, 9–18   i 20. 2. Do umów, o których mowa w art. 2 ust. 1 pkt 2, 3 lub 5, stosuje się   odpowiednio przepisy art. 35 ust. 2 i 3. 3. Do umowy, o której mowa w art. 2   ust. 2, zawartej wraz z jedną z umów, o których mowa w art. 2 ust. 1 pkt 2, 3   lub 5, stosuje się przepisy art. 35 ust. 4.</w:t>
            </w:r>
          </w:p>
          <w:p w14:paraId="39C81588" w14:textId="77777777" w:rsidR="00080102" w:rsidRPr="00080102" w:rsidRDefault="00080102" w:rsidP="00080102">
            <w:pPr>
              <w:jc w:val="both"/>
              <w:rPr>
                <w:rFonts w:ascii="Titillium" w:hAnsi="Titillium"/>
                <w:sz w:val="16"/>
                <w:szCs w:val="16"/>
              </w:rPr>
            </w:pPr>
            <w:r w:rsidRPr="00080102">
              <w:rPr>
                <w:rFonts w:ascii="Titillium" w:hAnsi="Titillium"/>
                <w:sz w:val="16"/>
                <w:szCs w:val="16"/>
              </w:rPr>
              <w:t xml:space="preserve">Nabywca ma prawo odstąpić od umowy deweloperskiej albo umowy, o której mowa w art. 2 ust. 1 pkt 2, 3 lub 5: 1) jeżeli umowa deweloperska albo umowa, o której mowa w art. 2 ust. 1 pkt 2, 3 lub 5, nie   zawiera odpowiednio elementów, o których mowa w art. 35, albo elementów, o których mowa w art. 36; 2) jeżeli informacje zawarte w umowie deweloperskiej albo umowie, o której mowa w art. 2 ust. 1 pkt 2, 3 lub 5, nie są zgodne z informacjami zawartymi w prospekcie informacyjnym lub jego załącznikach, z   wyjątkiem zmian, o których mowa w art. 35 ust. 2; 3) jeżeli deweloper nie doręczył zgodnie z art. 21 lub art. 22 prospektu informacyjnego wraz z   załącznikami lub informacji o zmianie danych lub informacji zawartych w   prospekcie informacyjnym lub jego załącznikach; 4) jeżeli dane lub informacje   zawarte w prospekcie informacyjnym lub jego załącznikach, na podstawie   których zawarto umowę deweloperską albo umowę, o której mowa w art. 2 ust. 1   pkt 2, 3 lub 5, są niezgodne ze stanem faktycznym lub prawnym w dniu zawarcia umowy; 5) jeżeli prospekt informacyjny, na podstawie którego zawarto umowę deweloperską albo umowę, o której mowa w art. 2 ust. 1 pkt 2, 3 lub 5, nie zawiera danych lub informacji określonych we wzorze prospektu informacyjnego;   6) w przypadku </w:t>
            </w:r>
            <w:proofErr w:type="spellStart"/>
            <w:r w:rsidRPr="00080102">
              <w:rPr>
                <w:rFonts w:ascii="Titillium" w:hAnsi="Titillium"/>
                <w:sz w:val="16"/>
                <w:szCs w:val="16"/>
              </w:rPr>
              <w:t>nieprzeniesienia</w:t>
            </w:r>
            <w:proofErr w:type="spellEnd"/>
            <w:r w:rsidRPr="00080102">
              <w:rPr>
                <w:rFonts w:ascii="Titillium" w:hAnsi="Titillium"/>
                <w:sz w:val="16"/>
                <w:szCs w:val="16"/>
              </w:rPr>
              <w:t xml:space="preserve"> na nabywcę praw wynikających z umowy deweloperskiej albo umowy, o której mowa w art. 2 ust. 1 pkt 2, 3 lub 5, w terminie wynikającym z tych umów; 7) w przypadku gdy deweloper nie zawrze umowy mieszkaniowego rachunku   powierniczego z innym bankiem w trybie i terminie, o których mowa w art. 10   ust. 1; 8) w przypadku gdy deweloper nie posiada zgody wierzyciela   hipotecznego lub zobowiązania do jej udzielenia, o których mowa w art. 25   ust. 1 pkt 1 lub 2; 9) w przypadku niewykonania przez dewelopera obowiązku, o   którym mowa w art. 12 ust. 2, w terminie określonym w tym przepisie; 10) w   przypadku nieusunięcia przez dewelopera wady istotnej lokalu mieszkalnego   albo domu jednorodzinnego na zasadach określonych w art. 41 ust. 11; 11) w przypadku stwierdzenia przez rzeczoznawcę istnienia wady istotnej, o którym   mowa w art. 41 ust. 15; 12) jeżeli syndyk zażądał wykonania umowy na   podstawie art. 98 ustawy z dnia 28 lutego 2003 r. – Prawo upadłościowe. 2. W   przypadkach, o których mowa w ust. 1 pkt 1–5, nabywca ma prawo odstąpienia od   umowy deweloperskiej albo umowy, o której mowa w art. 2 ust. 1 pkt 2, 3 lub 5, w terminie 30 dni od dnia jej zawarcia. 3. W przypadku, o którym mowa w ust. 1 pkt 6, przed skorzystaniem z prawa do odstąpienia od umowy nabywca wyznacza deweloperowi 120-dniowy termin na przeniesienie praw wynikających z umowy deweloperskiej albo umowy,   o której mowa w art. 2 ust. 1 pkt 2, 3 lub 5, a w razie bezskutecznego upływu wyznaczonego terminu jest uprawniony do odstąpienia od tej umowy. Nabywca   zachowuje roszczenie z tytułu kary umownej za okres opóźnienia. 4. W   przypadku, o którym mowa w ust. 1 pkt 7, nabywca ma prawo odstąpienia od   umowy deweloperskiej albo umowy, o której mowa w art. 2 ust. 1 pkt 2, 3 lub   5, po dokonaniu przez bank zwrotu środków zgodnie z art. 10 ust. 3. 5. W   przypadku, o którym mowa w ust. 1 pkt 8, nabywca ma prawo odstąpienia od   umowy deweloperskiej albo umowy, o której mowa w art. 2 ust. 1 pkt 2, 3 lub   5, w terminie 60 dni od dnia jej zawarcia. 6. W przypadku, o którym mowa w   ust. 1 pkt 9, nabywca ma prawo odstąpienia od umowy deweloperskiej albo   umowy, o której mowa w art. 2 ust. 1 pkt 2, 3 lub 5, po upływie 60 dni od   dnia podania do publicznej wiadomości informacji, o których mowa w art. 12   ust. 1. 7. Deweloper ma prawo odstąpić od umowy deweloperskiej albo umowy, o  której mowa w art. 2 ust. 1 pkt 2, 3 lub 5, w przypadku niespełnienia przez  nabywcę świadczenia pieniężnego w terminie lub wysokości określonych w   umowie, mimo wezwania nabywcy w formie pisemnej do uiszczenia zaległych kwot   w terminie 30 dni od dnia doręczenia wezwania, chyba że </w:t>
            </w:r>
            <w:r w:rsidRPr="00080102">
              <w:rPr>
                <w:rFonts w:ascii="Titillium" w:hAnsi="Titillium"/>
                <w:sz w:val="16"/>
                <w:szCs w:val="16"/>
              </w:rPr>
              <w:lastRenderedPageBreak/>
              <w:t>niespełnienie przez nabywcę świadczenia pieniężnego jest spowodowane działaniem siły wyższej. 8. Deweloper ma prawo odstąpić od umowy deweloperskiej albo umowy, o której mowa w art. 2 ust. 1 pkt 2, 3 lub 5, w przypadku niestawienia się nabywcy do odbioru lokalu mieszkalnego albo domu jednorodzinnego lub podpisania aktu notarialnego przenoszącego na nabywcę prawa wynikające z umowy deweloperskiej  albo umowy, o której mowa w art. 2 ust. 1 pkt 2, 3 lub 5, mimo dwukrotnego   doręczenia wezwania w formie pisemnej w odstępie co najmniej 60 dni, chyba że   niestawienie się nabywcy jest spowodowane działaniem siły wyższej</w:t>
            </w:r>
          </w:p>
          <w:p w14:paraId="4BEECEFC" w14:textId="77777777" w:rsidR="00080102" w:rsidRPr="00080102" w:rsidRDefault="00080102" w:rsidP="00080102">
            <w:pPr>
              <w:jc w:val="both"/>
              <w:rPr>
                <w:rFonts w:ascii="Titillium" w:hAnsi="Titillium"/>
                <w:sz w:val="16"/>
                <w:szCs w:val="16"/>
              </w:rPr>
            </w:pPr>
            <w:r w:rsidRPr="00080102">
              <w:rPr>
                <w:rFonts w:ascii="Titillium" w:hAnsi="Titillium"/>
                <w:sz w:val="16"/>
                <w:szCs w:val="16"/>
              </w:rPr>
              <w:t>1. Zgodnie z Umową o prowadzenie otwartego mieszkaniowego rachunku powierniczego w przypadku odstąpienia od umowy deweloperskiej, zgodnie z art. 43 ustawy, przez jedną ze stron tej umowy, Bank wypłaca nabywcy przypadające mu środki z tytułu dokonywanych  wpłat, pomniejszone o udział przypisany danemu nabywcy w wypłatach dokonanych   na rzecz dewelopera, zgodnie z prowadzoną w banku ewidencji wpłat i wypłat na koncie ewidencyjnym, bez żadnych potrąceń, kar umownych i innych należności zastrzeżonych w tej umowie, niezwłocznie po przedłożeniu przez nabywcę dokumentów, o których mowa w  § 8 ust. 2 albo 3.</w:t>
            </w:r>
          </w:p>
          <w:p w14:paraId="23876574" w14:textId="77777777" w:rsidR="00080102" w:rsidRPr="00080102" w:rsidRDefault="00080102" w:rsidP="00080102">
            <w:pPr>
              <w:jc w:val="both"/>
              <w:rPr>
                <w:rFonts w:ascii="Titillium" w:hAnsi="Titillium"/>
                <w:sz w:val="16"/>
                <w:szCs w:val="16"/>
              </w:rPr>
            </w:pPr>
            <w:r w:rsidRPr="00080102">
              <w:rPr>
                <w:rFonts w:ascii="Titillium" w:hAnsi="Titillium"/>
                <w:sz w:val="16"/>
                <w:szCs w:val="16"/>
              </w:rPr>
              <w:t xml:space="preserve"> 2. Gdy nabywca odstąpi od umowy deweloperskiej, na podstawie art. 43 ust. 1 ustawy, ma obowiązek   przedstawić: 1) dokument tożsamości; 2) oświadczenie o odstąpieniu od tej umowy we właściwej formie wraz z podaniem podstawy odstąpienia, zgodę nabywcy   na wykreślenie roszczenia, o którym mowa w art. 38 ust. 2 ustawy w formie   pisemnej z podpisami notarialnie poświadczonymi lub oświadczenie nabywcy, że nie złożono wniosku o wpis tego roszczenia do księgi wieczystej; 3) oryginał   lub poświadczony notarialnie dowód doręczenia deweloperowi oświadczenia, o   którym mowa w pkt 2; 4) umowę od której odstąpił, jeżeli bank nie znajduje   się w jej posiadaniu; 5) pisemne oświadczenie nabywcy, w którym wskazany został numer rachunku bankowego nabywcy (cesjonariusza), na który mają być przekazane środki wpłacone przez tego nabywcę na rachunek za pośrednictwem   konta ewidencyjnego.</w:t>
            </w:r>
          </w:p>
          <w:p w14:paraId="1C4BC6B2" w14:textId="16E0792A" w:rsidR="00080102" w:rsidRPr="00080102" w:rsidRDefault="00080102" w:rsidP="00080102">
            <w:pPr>
              <w:jc w:val="both"/>
              <w:rPr>
                <w:rFonts w:ascii="Titillium" w:hAnsi="Titillium"/>
                <w:sz w:val="16"/>
                <w:szCs w:val="16"/>
              </w:rPr>
            </w:pPr>
            <w:r w:rsidRPr="00080102">
              <w:rPr>
                <w:rFonts w:ascii="Titillium" w:hAnsi="Titillium"/>
                <w:sz w:val="16"/>
                <w:szCs w:val="16"/>
              </w:rPr>
              <w:t>3. Gdy deweloper odstąpi od umowy deweloperskiej, na podstawie art. 43 ustawy, wraz z dyspozycją wypłaty nabywca ma obowiązek przedstawić: 1) dokument tożsamości; 2) oświadczenie dewelopera o odstąpieniu od tej umowy we właściwej formie wraz z podaniem podstawy odstąpienia; 3) umowę od której odstąpił deweloper jeżeli  bank nie znajduje się w jej posiadaniu; 4) oświadczenie nabywcy, o którym mowa w</w:t>
            </w:r>
            <w:r w:rsidR="00EB475B" w:rsidRPr="00EB475B">
              <w:rPr>
                <w:rFonts w:ascii="Titillium" w:hAnsi="Titillium"/>
                <w:sz w:val="16"/>
                <w:szCs w:val="16"/>
              </w:rPr>
              <w:t xml:space="preserve"> § 8 ust. 2 pkt. 5 Umowy o prowadzenie otwartego mieszkaniowego rachunku powierniczego</w:t>
            </w:r>
            <w:r w:rsidR="00EB475B">
              <w:rPr>
                <w:rFonts w:ascii="Titillium" w:hAnsi="Titillium"/>
                <w:sz w:val="16"/>
                <w:szCs w:val="16"/>
              </w:rPr>
              <w:t>.</w:t>
            </w:r>
          </w:p>
          <w:p w14:paraId="182256E6" w14:textId="77777777" w:rsidR="00AF081D" w:rsidRPr="00AF081D" w:rsidRDefault="00AF081D" w:rsidP="00AF081D">
            <w:pPr>
              <w:jc w:val="both"/>
              <w:rPr>
                <w:rFonts w:ascii="Titillium" w:hAnsi="Titillium"/>
                <w:sz w:val="16"/>
                <w:szCs w:val="16"/>
              </w:rPr>
            </w:pPr>
            <w:r w:rsidRPr="00AF081D">
              <w:rPr>
                <w:rFonts w:ascii="Titillium" w:hAnsi="Titillium"/>
                <w:sz w:val="16"/>
                <w:szCs w:val="16"/>
              </w:rPr>
              <w:t>4. W przypadku rozwiązania umowy deweloperskiej, deweloper i nabywca przedstawiają zgodne oświadczenie woli (porozumienie) o sposobie podziału środków pieniężnych zgromadzonych na rachunku przez nabywcę i zaewidencjonowanych na koncie ewidencyjnym. Wraz z dyspozycją wypłaty nabywca lub deweloper ma  obowiązek przedstawić dokument tożsamości.</w:t>
            </w:r>
          </w:p>
          <w:p w14:paraId="59079DF6" w14:textId="7A57D703" w:rsidR="000374B9" w:rsidRPr="00910D00" w:rsidRDefault="00080102" w:rsidP="00080102">
            <w:pPr>
              <w:jc w:val="both"/>
              <w:rPr>
                <w:rFonts w:ascii="Titillium" w:hAnsi="Titillium"/>
                <w:sz w:val="16"/>
                <w:szCs w:val="16"/>
              </w:rPr>
            </w:pPr>
            <w:r w:rsidRPr="00080102">
              <w:rPr>
                <w:rFonts w:ascii="Titillium" w:hAnsi="Titillium"/>
                <w:sz w:val="16"/>
                <w:szCs w:val="16"/>
              </w:rPr>
              <w:t>5. Bank wypłaca środki zgromadzone na rachunku w nominalnej wysokości niezwłocznie po otrzymaniu   oświadczeń woli oraz dokumentów, o których mowa w § 8 ust. 2 albo 3 albo 4</w:t>
            </w:r>
            <w:r w:rsidR="00EB475B">
              <w:rPr>
                <w:rFonts w:ascii="Titillium" w:hAnsi="Titillium"/>
                <w:sz w:val="16"/>
                <w:szCs w:val="16"/>
              </w:rPr>
              <w:t xml:space="preserve"> U</w:t>
            </w:r>
            <w:r w:rsidR="00EB475B" w:rsidRPr="00EB475B">
              <w:rPr>
                <w:rFonts w:ascii="Titillium" w:hAnsi="Titillium"/>
                <w:sz w:val="16"/>
                <w:szCs w:val="16"/>
              </w:rPr>
              <w:t>mowy o prowadzenie otwartego mieszkaniowego rachunku powierniczego</w:t>
            </w:r>
            <w:r w:rsidRPr="00080102">
              <w:rPr>
                <w:rFonts w:ascii="Titillium" w:hAnsi="Titillium"/>
                <w:sz w:val="16"/>
                <w:szCs w:val="16"/>
              </w:rPr>
              <w:t>.</w:t>
            </w:r>
          </w:p>
        </w:tc>
      </w:tr>
      <w:tr w:rsidR="00E01B31" w:rsidRPr="00D31C8C" w14:paraId="486D07A6" w14:textId="77777777" w:rsidTr="00CC5866">
        <w:trPr>
          <w:trHeight w:val="312"/>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3E4B7D4" w14:textId="61C695F2" w:rsidR="00E01B31" w:rsidRPr="00D31C8C" w:rsidRDefault="00E01B31" w:rsidP="00E01B31">
            <w:pPr>
              <w:ind w:left="2"/>
              <w:rPr>
                <w:rFonts w:ascii="Titillium" w:eastAsia="Times New Roman" w:hAnsi="Titillium" w:cs="Times New Roman"/>
                <w:sz w:val="16"/>
                <w:szCs w:val="16"/>
              </w:rPr>
            </w:pPr>
            <w:r w:rsidRPr="00D31C8C">
              <w:rPr>
                <w:rFonts w:ascii="Titillium" w:eastAsia="Times New Roman" w:hAnsi="Titillium" w:cs="Times New Roman"/>
                <w:b/>
                <w:sz w:val="16"/>
                <w:szCs w:val="16"/>
              </w:rPr>
              <w:lastRenderedPageBreak/>
              <w:t xml:space="preserve">INNE </w:t>
            </w:r>
            <w:r w:rsidRPr="00715DB9">
              <w:rPr>
                <w:rFonts w:ascii="Titillium" w:eastAsia="Times New Roman" w:hAnsi="Titillium" w:cs="Times New Roman"/>
                <w:b/>
                <w:sz w:val="16"/>
                <w:szCs w:val="16"/>
              </w:rPr>
              <w:t xml:space="preserve">INFORMACJE </w:t>
            </w:r>
            <w:r w:rsidR="00791B9B" w:rsidRPr="00715DB9">
              <w:rPr>
                <w:rFonts w:ascii="Titillium" w:eastAsia="Times New Roman" w:hAnsi="Titillium" w:cs="Times New Roman"/>
                <w:bCs/>
                <w:sz w:val="16"/>
                <w:szCs w:val="16"/>
                <w:vertAlign w:val="superscript"/>
              </w:rPr>
              <w:t>44)</w:t>
            </w:r>
          </w:p>
        </w:tc>
      </w:tr>
      <w:tr w:rsidR="00E01B31" w:rsidRPr="00D31C8C" w14:paraId="6CA72B40" w14:textId="77777777" w:rsidTr="00791B9B">
        <w:trPr>
          <w:trHeight w:val="4217"/>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16824D3E" w14:textId="3FFB3891" w:rsidR="00E01B31" w:rsidRPr="00715DB9" w:rsidRDefault="00E01B31" w:rsidP="006C0B79">
            <w:pPr>
              <w:ind w:left="2"/>
              <w:jc w:val="both"/>
              <w:rPr>
                <w:rFonts w:ascii="Titillium" w:eastAsia="Times New Roman" w:hAnsi="Titillium" w:cs="Times New Roman"/>
                <w:sz w:val="16"/>
                <w:szCs w:val="16"/>
              </w:rPr>
            </w:pPr>
            <w:r w:rsidRPr="00715DB9">
              <w:rPr>
                <w:rFonts w:ascii="Titillium" w:eastAsia="Times New Roman" w:hAnsi="Titillium" w:cs="Times New Roman"/>
                <w:sz w:val="16"/>
                <w:szCs w:val="16"/>
              </w:rPr>
              <w:t>I. Informacja:</w:t>
            </w:r>
          </w:p>
          <w:p w14:paraId="1FDA12E0" w14:textId="3C98DF77" w:rsidR="00E01B31" w:rsidRPr="00715DB9" w:rsidRDefault="00E01B31" w:rsidP="006C0B79">
            <w:pPr>
              <w:ind w:left="2"/>
              <w:jc w:val="both"/>
              <w:rPr>
                <w:rFonts w:ascii="Titillium" w:eastAsia="Times New Roman" w:hAnsi="Titillium" w:cs="Times New Roman"/>
                <w:sz w:val="16"/>
                <w:szCs w:val="16"/>
              </w:rPr>
            </w:pPr>
            <w:r w:rsidRPr="00715DB9">
              <w:rPr>
                <w:rFonts w:ascii="Titillium" w:eastAsia="Times New Roman" w:hAnsi="Titillium" w:cs="Times New Roman"/>
                <w:sz w:val="16"/>
                <w:szCs w:val="16"/>
              </w:rPr>
              <w:t xml:space="preserve">1) </w:t>
            </w:r>
            <w:r w:rsidR="00EB475B">
              <w:rPr>
                <w:rFonts w:ascii="Titillium" w:eastAsia="Times New Roman" w:hAnsi="Titillium" w:cs="Times New Roman"/>
                <w:sz w:val="16"/>
                <w:szCs w:val="16"/>
              </w:rPr>
              <w:t xml:space="preserve">o </w:t>
            </w:r>
            <w:r w:rsidRPr="00715DB9">
              <w:rPr>
                <w:rFonts w:ascii="Titillium" w:eastAsia="Times New Roman" w:hAnsi="Titillium" w:cs="Times New Roman"/>
                <w:sz w:val="16"/>
                <w:szCs w:val="16"/>
              </w:rPr>
              <w:t>zgodzie banku</w:t>
            </w:r>
            <w:r w:rsidR="00791B9B" w:rsidRPr="00715DB9">
              <w:rPr>
                <w:rFonts w:ascii="Titillium" w:eastAsia="Times New Roman" w:hAnsi="Titillium" w:cs="Times New Roman"/>
                <w:sz w:val="16"/>
                <w:szCs w:val="16"/>
              </w:rPr>
              <w:t>, kasy</w:t>
            </w:r>
            <w:r w:rsidRPr="00715DB9">
              <w:rPr>
                <w:rFonts w:ascii="Titillium" w:eastAsia="Times New Roman" w:hAnsi="Titillium" w:cs="Times New Roman"/>
                <w:sz w:val="16"/>
                <w:szCs w:val="16"/>
              </w:rPr>
              <w:t xml:space="preserve"> lub innego wierzyciela hipotecznego na </w:t>
            </w:r>
            <w:proofErr w:type="spellStart"/>
            <w:r w:rsidRPr="00715DB9">
              <w:rPr>
                <w:rFonts w:ascii="Titillium" w:eastAsia="Times New Roman" w:hAnsi="Titillium" w:cs="Times New Roman"/>
                <w:sz w:val="16"/>
                <w:szCs w:val="16"/>
              </w:rPr>
              <w:t>bezobciążeniowe</w:t>
            </w:r>
            <w:proofErr w:type="spellEnd"/>
            <w:r w:rsidRPr="00715DB9">
              <w:rPr>
                <w:rFonts w:ascii="Titillium" w:eastAsia="Times New Roman" w:hAnsi="Titillium" w:cs="Times New Roman"/>
                <w:sz w:val="16"/>
                <w:szCs w:val="16"/>
              </w:rPr>
              <w:t xml:space="preserve"> ustanowienie odrębnej własności lokalu mieszkalnego i przeniesienie jego własności na nabywcę po wpłacie pełnej ceny przez nabywcę lub zobowiązaniu do jej udzielenia, jeżeli takie obciążenie istnieje, albo zgodzie banku</w:t>
            </w:r>
            <w:r w:rsidR="00791B9B" w:rsidRPr="00715DB9">
              <w:rPr>
                <w:rFonts w:ascii="Titillium" w:eastAsia="Times New Roman" w:hAnsi="Titillium" w:cs="Times New Roman"/>
                <w:sz w:val="16"/>
                <w:szCs w:val="16"/>
              </w:rPr>
              <w:t>, kasy</w:t>
            </w:r>
            <w:r w:rsidRPr="00715DB9">
              <w:rPr>
                <w:rFonts w:ascii="Titillium" w:eastAsia="Times New Roman" w:hAnsi="Titillium" w:cs="Times New Roman"/>
                <w:sz w:val="16"/>
                <w:szCs w:val="16"/>
              </w:rPr>
              <w:t xml:space="preserve"> lub innego wierzyciela hipotecznego na </w:t>
            </w:r>
            <w:proofErr w:type="spellStart"/>
            <w:r w:rsidRPr="00715DB9">
              <w:rPr>
                <w:rFonts w:ascii="Titillium" w:eastAsia="Times New Roman" w:hAnsi="Titillium" w:cs="Times New Roman"/>
                <w:sz w:val="16"/>
                <w:szCs w:val="16"/>
              </w:rPr>
              <w:t>bezobciążeniowe</w:t>
            </w:r>
            <w:proofErr w:type="spellEnd"/>
            <w:r w:rsidRPr="00715DB9">
              <w:rPr>
                <w:rFonts w:ascii="Titillium" w:eastAsia="Times New Roman" w:hAnsi="Titillium" w:cs="Times New Roman"/>
                <w:sz w:val="16"/>
                <w:szCs w:val="16"/>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  </w:t>
            </w:r>
          </w:p>
          <w:p w14:paraId="6D154FC6" w14:textId="0B453095" w:rsidR="00E01B31" w:rsidRPr="00715DB9" w:rsidRDefault="00E01B31" w:rsidP="006C0B79">
            <w:pPr>
              <w:ind w:left="2"/>
              <w:jc w:val="both"/>
              <w:rPr>
                <w:rFonts w:ascii="Titillium" w:eastAsia="Times New Roman" w:hAnsi="Titillium" w:cs="Times New Roman"/>
                <w:sz w:val="16"/>
                <w:szCs w:val="16"/>
              </w:rPr>
            </w:pPr>
            <w:r w:rsidRPr="00715DB9">
              <w:rPr>
                <w:rFonts w:ascii="Titillium" w:eastAsia="Times New Roman" w:hAnsi="Titillium" w:cs="Times New Roman"/>
                <w:sz w:val="16"/>
                <w:szCs w:val="16"/>
              </w:rPr>
              <w:t>2) w przypadku umów, o których mowa w art. 2 ust. 2 ustawy z dnia 20 maja 2021 r. o ochronie praw nabywcy lokalu mieszkalnego lub domu jednorodzinnego oraz Deweloperskim Funduszu Gwarancyjnym, o zgodzie banku</w:t>
            </w:r>
            <w:r w:rsidR="00791B9B" w:rsidRPr="00715DB9">
              <w:rPr>
                <w:rFonts w:ascii="Titillium" w:eastAsia="Times New Roman" w:hAnsi="Titillium" w:cs="Times New Roman"/>
                <w:sz w:val="16"/>
                <w:szCs w:val="16"/>
              </w:rPr>
              <w:t>, kasy</w:t>
            </w:r>
            <w:r w:rsidRPr="00715DB9">
              <w:rPr>
                <w:rFonts w:ascii="Titillium" w:eastAsia="Times New Roman" w:hAnsi="Titillium" w:cs="Times New Roman"/>
                <w:sz w:val="16"/>
                <w:szCs w:val="16"/>
              </w:rPr>
              <w:t xml:space="preserve"> lub innego wierzyciela hipotecznego na </w:t>
            </w:r>
            <w:proofErr w:type="spellStart"/>
            <w:r w:rsidRPr="00715DB9">
              <w:rPr>
                <w:rFonts w:ascii="Titillium" w:eastAsia="Times New Roman" w:hAnsi="Titillium" w:cs="Times New Roman"/>
                <w:sz w:val="16"/>
                <w:szCs w:val="16"/>
              </w:rPr>
              <w:t>bezobciążeniowe</w:t>
            </w:r>
            <w:proofErr w:type="spellEnd"/>
            <w:r w:rsidRPr="00715DB9">
              <w:rPr>
                <w:rFonts w:ascii="Titillium" w:eastAsia="Times New Roman" w:hAnsi="Titillium" w:cs="Times New Roman"/>
                <w:sz w:val="16"/>
                <w:szCs w:val="16"/>
              </w:rPr>
              <w:t xml:space="preserve"> przeniesienie własności lokalu użytkowego na nabywcę po wpłacie pełnej ceny przez nabywcę lub zobowiązaniu do udzielenia takiej zgody, jeżeli takie obciążenie istnieje, albo zgodzie banku</w:t>
            </w:r>
            <w:r w:rsidR="00791B9B" w:rsidRPr="00715DB9">
              <w:rPr>
                <w:rFonts w:ascii="Titillium" w:eastAsia="Times New Roman" w:hAnsi="Titillium" w:cs="Times New Roman"/>
                <w:sz w:val="16"/>
                <w:szCs w:val="16"/>
              </w:rPr>
              <w:t>, kasy</w:t>
            </w:r>
            <w:r w:rsidRPr="00715DB9">
              <w:rPr>
                <w:rFonts w:ascii="Titillium" w:eastAsia="Times New Roman" w:hAnsi="Titillium" w:cs="Times New Roman"/>
                <w:sz w:val="16"/>
                <w:szCs w:val="16"/>
              </w:rPr>
              <w:t xml:space="preserve"> lub innego wierzyciela hipotecznego na </w:t>
            </w:r>
            <w:proofErr w:type="spellStart"/>
            <w:r w:rsidRPr="00715DB9">
              <w:rPr>
                <w:rFonts w:ascii="Titillium" w:eastAsia="Times New Roman" w:hAnsi="Titillium" w:cs="Times New Roman"/>
                <w:sz w:val="16"/>
                <w:szCs w:val="16"/>
              </w:rPr>
              <w:t>bezobciążeniowe</w:t>
            </w:r>
            <w:proofErr w:type="spellEnd"/>
            <w:r w:rsidRPr="00715DB9">
              <w:rPr>
                <w:rFonts w:ascii="Titillium" w:eastAsia="Times New Roman" w:hAnsi="Titillium" w:cs="Times New Roman"/>
                <w:sz w:val="16"/>
                <w:szCs w:val="16"/>
              </w:rPr>
              <w:t xml:space="preserve"> przeniesienie na nabywcę ułamkowej części własności lokalu użytkowego po wpłacie pełnej ceny przez nabywcę lub zobowiązaniu do udzielenia takiej zgody, jeżeli takie obciążenie istnieje.</w:t>
            </w:r>
          </w:p>
          <w:p w14:paraId="30966281" w14:textId="207AD16B" w:rsidR="00E01B31" w:rsidRPr="00715DB9" w:rsidRDefault="00E01B31" w:rsidP="006C0B79">
            <w:pPr>
              <w:ind w:left="2"/>
              <w:jc w:val="both"/>
              <w:rPr>
                <w:rFonts w:ascii="Titillium" w:eastAsia="Times New Roman" w:hAnsi="Titillium" w:cs="Times New Roman"/>
                <w:sz w:val="16"/>
                <w:szCs w:val="16"/>
              </w:rPr>
            </w:pPr>
            <w:r w:rsidRPr="00715DB9">
              <w:rPr>
                <w:rFonts w:ascii="Titillium" w:eastAsia="Times New Roman" w:hAnsi="Titillium" w:cs="Times New Roman"/>
                <w:sz w:val="16"/>
                <w:szCs w:val="16"/>
              </w:rPr>
              <w:t xml:space="preserve">II. Informacja o możności zapoznania się w lokalu przedsiębiorstwa przez osobę zainteresowaną zawarciem umowy odpowiednio do zakresu umowy z: </w:t>
            </w:r>
          </w:p>
          <w:p w14:paraId="144DB3CD" w14:textId="54F3E414" w:rsidR="00E01B31" w:rsidRPr="00E01B31" w:rsidRDefault="00E01B31" w:rsidP="006C0B79">
            <w:pPr>
              <w:ind w:left="2"/>
              <w:jc w:val="both"/>
              <w:rPr>
                <w:rFonts w:ascii="Titillium" w:eastAsia="Times New Roman" w:hAnsi="Titillium" w:cs="Times New Roman"/>
                <w:sz w:val="16"/>
                <w:szCs w:val="16"/>
              </w:rPr>
            </w:pPr>
            <w:r w:rsidRPr="00E01B31">
              <w:rPr>
                <w:rFonts w:ascii="Titillium" w:eastAsia="Times New Roman" w:hAnsi="Titillium" w:cs="Times New Roman"/>
                <w:sz w:val="16"/>
                <w:szCs w:val="16"/>
              </w:rPr>
              <w:t>1)</w:t>
            </w:r>
            <w:r>
              <w:rPr>
                <w:rFonts w:ascii="Titillium" w:eastAsia="Times New Roman" w:hAnsi="Titillium" w:cs="Times New Roman"/>
                <w:sz w:val="16"/>
                <w:szCs w:val="16"/>
              </w:rPr>
              <w:t xml:space="preserve"> </w:t>
            </w:r>
            <w:r w:rsidRPr="00E01B31">
              <w:rPr>
                <w:rFonts w:ascii="Titillium" w:eastAsia="Times New Roman" w:hAnsi="Titillium" w:cs="Times New Roman"/>
                <w:sz w:val="16"/>
                <w:szCs w:val="16"/>
              </w:rPr>
              <w:t xml:space="preserve">aktualnym stanem księgi wieczystej prowadzonej dla nieruchomości; </w:t>
            </w:r>
          </w:p>
          <w:p w14:paraId="03F77726" w14:textId="2C2AB055" w:rsidR="00E01B31" w:rsidRPr="00E01B31" w:rsidRDefault="00E01B31" w:rsidP="006C0B79">
            <w:pPr>
              <w:ind w:left="2"/>
              <w:jc w:val="both"/>
              <w:rPr>
                <w:rFonts w:ascii="Titillium" w:eastAsia="Times New Roman" w:hAnsi="Titillium" w:cs="Times New Roman"/>
                <w:sz w:val="16"/>
                <w:szCs w:val="16"/>
              </w:rPr>
            </w:pPr>
            <w:r w:rsidRPr="00E01B31">
              <w:rPr>
                <w:rFonts w:ascii="Titillium" w:eastAsia="Times New Roman" w:hAnsi="Titillium" w:cs="Times New Roman"/>
                <w:sz w:val="16"/>
                <w:szCs w:val="16"/>
              </w:rPr>
              <w:t>2)</w:t>
            </w:r>
            <w:r>
              <w:rPr>
                <w:rFonts w:ascii="Titillium" w:eastAsia="Times New Roman" w:hAnsi="Titillium" w:cs="Times New Roman"/>
                <w:sz w:val="16"/>
                <w:szCs w:val="16"/>
              </w:rPr>
              <w:t xml:space="preserve"> </w:t>
            </w:r>
            <w:r w:rsidRPr="00E01B31">
              <w:rPr>
                <w:rFonts w:ascii="Titillium" w:eastAsia="Times New Roman" w:hAnsi="Titillium" w:cs="Times New Roman"/>
                <w:sz w:val="16"/>
                <w:szCs w:val="16"/>
              </w:rPr>
              <w:t xml:space="preserve">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w:t>
            </w:r>
          </w:p>
          <w:p w14:paraId="47A29EB5" w14:textId="3D2420F2" w:rsidR="00E01B31" w:rsidRPr="00E01B31" w:rsidRDefault="00E01B31" w:rsidP="006C0B79">
            <w:pPr>
              <w:ind w:left="2"/>
              <w:jc w:val="both"/>
              <w:rPr>
                <w:rFonts w:ascii="Titillium" w:eastAsia="Times New Roman" w:hAnsi="Titillium" w:cs="Times New Roman"/>
                <w:sz w:val="16"/>
                <w:szCs w:val="16"/>
              </w:rPr>
            </w:pPr>
            <w:r w:rsidRPr="00E01B31">
              <w:rPr>
                <w:rFonts w:ascii="Titillium" w:eastAsia="Times New Roman" w:hAnsi="Titillium" w:cs="Times New Roman"/>
                <w:sz w:val="16"/>
                <w:szCs w:val="16"/>
              </w:rPr>
              <w:t>3)</w:t>
            </w:r>
            <w:r>
              <w:rPr>
                <w:rFonts w:ascii="Titillium" w:eastAsia="Times New Roman" w:hAnsi="Titillium" w:cs="Times New Roman"/>
                <w:sz w:val="16"/>
                <w:szCs w:val="16"/>
              </w:rPr>
              <w:t xml:space="preserve"> </w:t>
            </w:r>
            <w:r w:rsidRPr="00E01B31">
              <w:rPr>
                <w:rFonts w:ascii="Titillium" w:eastAsia="Times New Roman" w:hAnsi="Titillium" w:cs="Times New Roman"/>
                <w:sz w:val="16"/>
                <w:szCs w:val="16"/>
              </w:rPr>
              <w:t xml:space="preserve">pozwoleniem na budowę </w:t>
            </w:r>
            <w:r w:rsidRPr="0017097A">
              <w:rPr>
                <w:rFonts w:ascii="Titillium" w:eastAsia="Times New Roman" w:hAnsi="Titillium" w:cs="Times New Roman"/>
                <w:strike/>
                <w:sz w:val="16"/>
                <w:szCs w:val="16"/>
              </w:rPr>
              <w:t xml:space="preserve">albo </w:t>
            </w:r>
            <w:r w:rsidRPr="00FB1082">
              <w:rPr>
                <w:rFonts w:ascii="Titillium" w:eastAsia="Times New Roman" w:hAnsi="Titillium" w:cs="Times New Roman"/>
                <w:strike/>
                <w:sz w:val="16"/>
                <w:szCs w:val="16"/>
              </w:rPr>
              <w:t>zgłoszeniem budowy, o którym mowa w art. 29 ust. 1 pkt 1 ustawy z dnia 7 lipca 1994 r. – Prawo budowlane, do którego organ administracji architektoniczno-budowlanej nie wniósł sprzeciwu</w:t>
            </w:r>
            <w:r w:rsidRPr="00E01B31">
              <w:rPr>
                <w:rFonts w:ascii="Titillium" w:eastAsia="Times New Roman" w:hAnsi="Titillium" w:cs="Times New Roman"/>
                <w:sz w:val="16"/>
                <w:szCs w:val="16"/>
              </w:rPr>
              <w:t xml:space="preserve">; </w:t>
            </w:r>
          </w:p>
          <w:p w14:paraId="44AF5E8B" w14:textId="50BD0445" w:rsidR="00E01B31" w:rsidRPr="00E01B31" w:rsidRDefault="00E01B31" w:rsidP="006C0B79">
            <w:pPr>
              <w:ind w:left="2"/>
              <w:jc w:val="both"/>
              <w:rPr>
                <w:rFonts w:ascii="Titillium" w:eastAsia="Times New Roman" w:hAnsi="Titillium" w:cs="Times New Roman"/>
                <w:sz w:val="16"/>
                <w:szCs w:val="16"/>
              </w:rPr>
            </w:pPr>
            <w:r w:rsidRPr="00E01B31">
              <w:rPr>
                <w:rFonts w:ascii="Titillium" w:eastAsia="Times New Roman" w:hAnsi="Titillium" w:cs="Times New Roman"/>
                <w:sz w:val="16"/>
                <w:szCs w:val="16"/>
              </w:rPr>
              <w:t>4)</w:t>
            </w:r>
            <w:r>
              <w:rPr>
                <w:rFonts w:ascii="Titillium" w:eastAsia="Times New Roman" w:hAnsi="Titillium" w:cs="Times New Roman"/>
                <w:sz w:val="16"/>
                <w:szCs w:val="16"/>
              </w:rPr>
              <w:t xml:space="preserve"> </w:t>
            </w:r>
            <w:r w:rsidRPr="00E01B31">
              <w:rPr>
                <w:rFonts w:ascii="Titillium" w:eastAsia="Times New Roman" w:hAnsi="Titillium" w:cs="Times New Roman"/>
                <w:sz w:val="16"/>
                <w:szCs w:val="16"/>
              </w:rPr>
              <w:t xml:space="preserve">sprawozdaniem finansowym dewelopera za ostatnie dwa lata, a w przypadku: </w:t>
            </w:r>
          </w:p>
          <w:p w14:paraId="70C369DD" w14:textId="3E56F46F" w:rsidR="00791B9B" w:rsidRDefault="00E01B31" w:rsidP="00791B9B">
            <w:pPr>
              <w:ind w:left="2"/>
              <w:jc w:val="both"/>
              <w:rPr>
                <w:rFonts w:ascii="Titillium" w:eastAsia="Times New Roman" w:hAnsi="Titillium" w:cs="Times New Roman"/>
                <w:sz w:val="16"/>
                <w:szCs w:val="16"/>
              </w:rPr>
            </w:pPr>
            <w:r w:rsidRPr="00E01B31">
              <w:rPr>
                <w:rFonts w:ascii="Titillium" w:eastAsia="Times New Roman" w:hAnsi="Titillium" w:cs="Times New Roman"/>
                <w:sz w:val="16"/>
                <w:szCs w:val="16"/>
              </w:rPr>
              <w:t>a)</w:t>
            </w:r>
            <w:r>
              <w:rPr>
                <w:rFonts w:ascii="Titillium" w:eastAsia="Times New Roman" w:hAnsi="Titillium" w:cs="Times New Roman"/>
                <w:sz w:val="16"/>
                <w:szCs w:val="16"/>
              </w:rPr>
              <w:t xml:space="preserve"> </w:t>
            </w:r>
            <w:r w:rsidRPr="00FB1082">
              <w:rPr>
                <w:rFonts w:ascii="Titillium" w:eastAsia="Times New Roman" w:hAnsi="Titillium" w:cs="Times New Roman"/>
                <w:strike/>
                <w:sz w:val="16"/>
                <w:szCs w:val="16"/>
              </w:rPr>
              <w:t>prowadzenia działalności przez okres krótszy niż dwa lata – sprawozdaniem finansowym za okres ostatniego roku,</w:t>
            </w:r>
            <w:r w:rsidRPr="00E01B31">
              <w:rPr>
                <w:rFonts w:ascii="Titillium" w:eastAsia="Times New Roman" w:hAnsi="Titillium" w:cs="Times New Roman"/>
                <w:sz w:val="16"/>
                <w:szCs w:val="16"/>
              </w:rPr>
              <w:t xml:space="preserve"> </w:t>
            </w:r>
          </w:p>
          <w:p w14:paraId="7FA808BF" w14:textId="2F8F9607" w:rsidR="00E01B31" w:rsidRPr="00E01B31" w:rsidRDefault="00E01B31" w:rsidP="006C0B79">
            <w:pPr>
              <w:ind w:left="2"/>
              <w:jc w:val="both"/>
              <w:rPr>
                <w:rFonts w:ascii="Titillium" w:eastAsia="Times New Roman" w:hAnsi="Titillium" w:cs="Times New Roman"/>
                <w:sz w:val="16"/>
                <w:szCs w:val="16"/>
              </w:rPr>
            </w:pPr>
            <w:r w:rsidRPr="00E01B31">
              <w:rPr>
                <w:rFonts w:ascii="Titillium" w:eastAsia="Times New Roman" w:hAnsi="Titillium" w:cs="Times New Roman"/>
                <w:sz w:val="16"/>
                <w:szCs w:val="16"/>
              </w:rPr>
              <w:t>b)</w:t>
            </w:r>
            <w:r>
              <w:rPr>
                <w:rFonts w:ascii="Titillium" w:eastAsia="Times New Roman" w:hAnsi="Titillium" w:cs="Times New Roman"/>
                <w:sz w:val="16"/>
                <w:szCs w:val="16"/>
              </w:rPr>
              <w:t xml:space="preserve"> </w:t>
            </w:r>
            <w:r w:rsidRPr="00FB1082">
              <w:rPr>
                <w:rFonts w:ascii="Titillium" w:eastAsia="Times New Roman" w:hAnsi="Titillium" w:cs="Times New Roman"/>
                <w:strike/>
                <w:sz w:val="16"/>
                <w:szCs w:val="16"/>
              </w:rPr>
              <w:t>realizacji inwestycji przez spółkę celową – sprawozdaniem spółki dominującej oraz spółki celowej;</w:t>
            </w:r>
            <w:r w:rsidRPr="00E01B31">
              <w:rPr>
                <w:rFonts w:ascii="Titillium" w:eastAsia="Times New Roman" w:hAnsi="Titillium" w:cs="Times New Roman"/>
                <w:sz w:val="16"/>
                <w:szCs w:val="16"/>
              </w:rPr>
              <w:t xml:space="preserve"> </w:t>
            </w:r>
          </w:p>
          <w:p w14:paraId="6C6476BA" w14:textId="3B684AC5" w:rsidR="00E01B31" w:rsidRPr="00E01B31" w:rsidRDefault="00E01B31" w:rsidP="006C0B79">
            <w:pPr>
              <w:ind w:left="2"/>
              <w:jc w:val="both"/>
              <w:rPr>
                <w:rFonts w:ascii="Titillium" w:eastAsia="Times New Roman" w:hAnsi="Titillium" w:cs="Times New Roman"/>
                <w:sz w:val="16"/>
                <w:szCs w:val="16"/>
              </w:rPr>
            </w:pPr>
            <w:r w:rsidRPr="00E01B31">
              <w:rPr>
                <w:rFonts w:ascii="Titillium" w:eastAsia="Times New Roman" w:hAnsi="Titillium" w:cs="Times New Roman"/>
                <w:sz w:val="16"/>
                <w:szCs w:val="16"/>
              </w:rPr>
              <w:t>5)</w:t>
            </w:r>
            <w:r>
              <w:rPr>
                <w:rFonts w:ascii="Titillium" w:eastAsia="Times New Roman" w:hAnsi="Titillium" w:cs="Times New Roman"/>
                <w:sz w:val="16"/>
                <w:szCs w:val="16"/>
              </w:rPr>
              <w:t xml:space="preserve"> </w:t>
            </w:r>
            <w:r w:rsidRPr="00E01B31">
              <w:rPr>
                <w:rFonts w:ascii="Titillium" w:eastAsia="Times New Roman" w:hAnsi="Titillium" w:cs="Times New Roman"/>
                <w:sz w:val="16"/>
                <w:szCs w:val="16"/>
              </w:rPr>
              <w:t xml:space="preserve">projektem budowlanym; </w:t>
            </w:r>
          </w:p>
          <w:p w14:paraId="652BBAC6" w14:textId="1E3E7786" w:rsidR="00E01B31" w:rsidRPr="00E01B31" w:rsidRDefault="00E01B31" w:rsidP="006C0B79">
            <w:pPr>
              <w:ind w:left="2"/>
              <w:jc w:val="both"/>
              <w:rPr>
                <w:rFonts w:ascii="Titillium" w:eastAsia="Times New Roman" w:hAnsi="Titillium" w:cs="Times New Roman"/>
                <w:sz w:val="16"/>
                <w:szCs w:val="16"/>
              </w:rPr>
            </w:pPr>
            <w:r w:rsidRPr="00E01B31">
              <w:rPr>
                <w:rFonts w:ascii="Titillium" w:eastAsia="Times New Roman" w:hAnsi="Titillium" w:cs="Times New Roman"/>
                <w:sz w:val="16"/>
                <w:szCs w:val="16"/>
              </w:rPr>
              <w:lastRenderedPageBreak/>
              <w:t>6)</w:t>
            </w:r>
            <w:r>
              <w:rPr>
                <w:rFonts w:ascii="Titillium" w:eastAsia="Times New Roman" w:hAnsi="Titillium" w:cs="Times New Roman"/>
                <w:sz w:val="16"/>
                <w:szCs w:val="16"/>
              </w:rPr>
              <w:t xml:space="preserve"> </w:t>
            </w:r>
            <w:r w:rsidRPr="00FB1082">
              <w:rPr>
                <w:rFonts w:ascii="Titillium" w:eastAsia="Times New Roman" w:hAnsi="Titillium" w:cs="Times New Roman"/>
                <w:strike/>
                <w:sz w:val="16"/>
                <w:szCs w:val="16"/>
              </w:rPr>
              <w:t>decyzją o pozwoleniu na użytkowanie budynku lub zawiadomieniem o zakończeniu budowy, do którego organ nadzoru budowlanego nie wniósł sprzeciwu</w:t>
            </w:r>
            <w:r w:rsidRPr="00E01B31">
              <w:rPr>
                <w:rFonts w:ascii="Titillium" w:eastAsia="Times New Roman" w:hAnsi="Titillium" w:cs="Times New Roman"/>
                <w:sz w:val="16"/>
                <w:szCs w:val="16"/>
              </w:rPr>
              <w:t xml:space="preserve">; </w:t>
            </w:r>
          </w:p>
          <w:p w14:paraId="59A92BD9" w14:textId="7AFC16E8" w:rsidR="00E01B31" w:rsidRPr="00E01B31" w:rsidRDefault="00E01B31" w:rsidP="006C0B79">
            <w:pPr>
              <w:ind w:left="2"/>
              <w:jc w:val="both"/>
              <w:rPr>
                <w:rFonts w:ascii="Titillium" w:eastAsia="Times New Roman" w:hAnsi="Titillium" w:cs="Times New Roman"/>
                <w:sz w:val="16"/>
                <w:szCs w:val="16"/>
              </w:rPr>
            </w:pPr>
            <w:r w:rsidRPr="00E01B31">
              <w:rPr>
                <w:rFonts w:ascii="Titillium" w:eastAsia="Times New Roman" w:hAnsi="Titillium" w:cs="Times New Roman"/>
                <w:sz w:val="16"/>
                <w:szCs w:val="16"/>
              </w:rPr>
              <w:t>7)</w:t>
            </w:r>
            <w:r>
              <w:rPr>
                <w:rFonts w:ascii="Titillium" w:eastAsia="Times New Roman" w:hAnsi="Titillium" w:cs="Times New Roman"/>
                <w:sz w:val="16"/>
                <w:szCs w:val="16"/>
              </w:rPr>
              <w:t xml:space="preserve"> </w:t>
            </w:r>
            <w:r w:rsidRPr="00FB1082">
              <w:rPr>
                <w:rFonts w:ascii="Titillium" w:eastAsia="Times New Roman" w:hAnsi="Titillium" w:cs="Times New Roman"/>
                <w:strike/>
                <w:sz w:val="16"/>
                <w:szCs w:val="16"/>
              </w:rPr>
              <w:t>zaświadczeniem o samodzielności lokalu;</w:t>
            </w:r>
            <w:r w:rsidRPr="00E01B31">
              <w:rPr>
                <w:rFonts w:ascii="Titillium" w:eastAsia="Times New Roman" w:hAnsi="Titillium" w:cs="Times New Roman"/>
                <w:sz w:val="16"/>
                <w:szCs w:val="16"/>
              </w:rPr>
              <w:t xml:space="preserve"> </w:t>
            </w:r>
          </w:p>
          <w:p w14:paraId="18D68240" w14:textId="5404DAB8" w:rsidR="00E01B31" w:rsidRPr="00E01B31" w:rsidRDefault="00E01B31" w:rsidP="006C0B79">
            <w:pPr>
              <w:ind w:left="2"/>
              <w:jc w:val="both"/>
              <w:rPr>
                <w:rFonts w:ascii="Titillium" w:eastAsia="Times New Roman" w:hAnsi="Titillium" w:cs="Times New Roman"/>
                <w:sz w:val="16"/>
                <w:szCs w:val="16"/>
              </w:rPr>
            </w:pPr>
            <w:r w:rsidRPr="00E01B31">
              <w:rPr>
                <w:rFonts w:ascii="Titillium" w:eastAsia="Times New Roman" w:hAnsi="Titillium" w:cs="Times New Roman"/>
                <w:sz w:val="16"/>
                <w:szCs w:val="16"/>
              </w:rPr>
              <w:t>8)</w:t>
            </w:r>
            <w:r>
              <w:rPr>
                <w:rFonts w:ascii="Titillium" w:eastAsia="Times New Roman" w:hAnsi="Titillium" w:cs="Times New Roman"/>
                <w:sz w:val="16"/>
                <w:szCs w:val="16"/>
              </w:rPr>
              <w:t xml:space="preserve"> </w:t>
            </w:r>
            <w:r w:rsidRPr="00FB1082">
              <w:rPr>
                <w:rFonts w:ascii="Titillium" w:eastAsia="Times New Roman" w:hAnsi="Titillium" w:cs="Times New Roman"/>
                <w:strike/>
                <w:sz w:val="16"/>
                <w:szCs w:val="16"/>
              </w:rPr>
              <w:t xml:space="preserve">aktem ustanowienia odrębnej własności lokalu; </w:t>
            </w:r>
          </w:p>
          <w:p w14:paraId="784F90C9" w14:textId="3E6DBB5E" w:rsidR="00E01B31" w:rsidRPr="00715DB9" w:rsidRDefault="00E01B31" w:rsidP="006C0B79">
            <w:pPr>
              <w:ind w:left="2"/>
              <w:jc w:val="both"/>
              <w:rPr>
                <w:rFonts w:ascii="Titillium" w:eastAsia="Times New Roman" w:hAnsi="Titillium" w:cs="Times New Roman"/>
                <w:sz w:val="16"/>
                <w:szCs w:val="16"/>
              </w:rPr>
            </w:pPr>
            <w:r w:rsidRPr="00715DB9">
              <w:rPr>
                <w:rFonts w:ascii="Titillium" w:eastAsia="Times New Roman" w:hAnsi="Titillium" w:cs="Times New Roman"/>
                <w:sz w:val="16"/>
                <w:szCs w:val="16"/>
              </w:rPr>
              <w:t xml:space="preserve">9)  dokumentem potwierdzającym: </w:t>
            </w:r>
          </w:p>
          <w:p w14:paraId="1B114FA7" w14:textId="3A2A0C83" w:rsidR="00FB6773" w:rsidRPr="00715DB9" w:rsidRDefault="00FB6773" w:rsidP="00FB6773">
            <w:pPr>
              <w:ind w:left="2"/>
              <w:jc w:val="both"/>
              <w:rPr>
                <w:rFonts w:ascii="Titillium" w:eastAsia="Times New Roman" w:hAnsi="Titillium" w:cs="Times New Roman"/>
                <w:sz w:val="16"/>
                <w:szCs w:val="16"/>
              </w:rPr>
            </w:pPr>
            <w:r w:rsidRPr="00715DB9">
              <w:rPr>
                <w:rFonts w:ascii="Titillium" w:eastAsia="Times New Roman" w:hAnsi="Titillium" w:cs="Times New Roman"/>
                <w:sz w:val="16"/>
                <w:szCs w:val="16"/>
              </w:rPr>
              <w:t>a) zgodę banku</w:t>
            </w:r>
            <w:r w:rsidR="00791B9B" w:rsidRPr="00715DB9">
              <w:rPr>
                <w:rFonts w:ascii="Titillium" w:eastAsia="Times New Roman" w:hAnsi="Titillium" w:cs="Times New Roman"/>
                <w:sz w:val="16"/>
                <w:szCs w:val="16"/>
              </w:rPr>
              <w:t>, kasy</w:t>
            </w:r>
            <w:r w:rsidRPr="00715DB9">
              <w:rPr>
                <w:rFonts w:ascii="Titillium" w:eastAsia="Times New Roman" w:hAnsi="Titillium" w:cs="Times New Roman"/>
                <w:sz w:val="16"/>
                <w:szCs w:val="16"/>
              </w:rPr>
              <w:t xml:space="preserve"> lub innego wierzyciela hipotecznego na </w:t>
            </w:r>
            <w:proofErr w:type="spellStart"/>
            <w:r w:rsidRPr="00715DB9">
              <w:rPr>
                <w:rFonts w:ascii="Titillium" w:eastAsia="Times New Roman" w:hAnsi="Titillium" w:cs="Times New Roman"/>
                <w:sz w:val="16"/>
                <w:szCs w:val="16"/>
              </w:rPr>
              <w:t>bezobciążeniowe</w:t>
            </w:r>
            <w:proofErr w:type="spellEnd"/>
            <w:r w:rsidRPr="00715DB9">
              <w:rPr>
                <w:rFonts w:ascii="Titillium" w:eastAsia="Times New Roman" w:hAnsi="Titillium" w:cs="Times New Roman"/>
                <w:sz w:val="16"/>
                <w:szCs w:val="16"/>
              </w:rPr>
              <w:t xml:space="preserve"> ustanowienie odrębnej własności lokalu mieszkalnego i przeniesienie jego własności na nabywcę po wpłacie pełnej ceny przez nabywcę lub zobowiązanie do jej udzielenia, jeżeli takie obciążenie istnieje, albo zgodę banku</w:t>
            </w:r>
            <w:r w:rsidR="00510FD4" w:rsidRPr="00715DB9">
              <w:rPr>
                <w:rFonts w:ascii="Titillium" w:eastAsia="Times New Roman" w:hAnsi="Titillium" w:cs="Times New Roman"/>
                <w:sz w:val="16"/>
                <w:szCs w:val="16"/>
              </w:rPr>
              <w:t>, kasy</w:t>
            </w:r>
            <w:r w:rsidRPr="00715DB9">
              <w:rPr>
                <w:rFonts w:ascii="Titillium" w:eastAsia="Times New Roman" w:hAnsi="Titillium" w:cs="Times New Roman"/>
                <w:sz w:val="16"/>
                <w:szCs w:val="16"/>
              </w:rPr>
              <w:t xml:space="preserve"> lub innego wierzyciela hipotecznego na </w:t>
            </w:r>
            <w:proofErr w:type="spellStart"/>
            <w:r w:rsidRPr="00715DB9">
              <w:rPr>
                <w:rFonts w:ascii="Titillium" w:eastAsia="Times New Roman" w:hAnsi="Titillium" w:cs="Times New Roman"/>
                <w:sz w:val="16"/>
                <w:szCs w:val="16"/>
              </w:rPr>
              <w:t>bezobciążeniowe</w:t>
            </w:r>
            <w:proofErr w:type="spellEnd"/>
            <w:r w:rsidRPr="00715DB9">
              <w:rPr>
                <w:rFonts w:ascii="Titillium" w:eastAsia="Times New Roman" w:hAnsi="Titillium" w:cs="Times New Roman"/>
                <w:sz w:val="16"/>
                <w:szCs w:val="16"/>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7409BD35" w14:textId="09AAFE67" w:rsidR="00FB6773" w:rsidRPr="00715DB9" w:rsidRDefault="00FB6773" w:rsidP="00FB6773">
            <w:pPr>
              <w:ind w:left="2"/>
              <w:jc w:val="both"/>
              <w:rPr>
                <w:rFonts w:ascii="Titillium" w:eastAsia="Times New Roman" w:hAnsi="Titillium" w:cs="Times New Roman"/>
                <w:sz w:val="16"/>
                <w:szCs w:val="16"/>
              </w:rPr>
            </w:pPr>
            <w:r w:rsidRPr="00715DB9">
              <w:rPr>
                <w:rFonts w:ascii="Titillium" w:eastAsia="Times New Roman" w:hAnsi="Titillium" w:cs="Times New Roman"/>
                <w:sz w:val="16"/>
                <w:szCs w:val="16"/>
              </w:rPr>
              <w:t>b) w przypadku umów, o których mowa w art. 2 ust. 2 ustawy z dnia 20 maja 2021 r. o ochronie praw nabywcy lokalu mieszkalnego lub domu jednorodzinnego oraz Deweloperskim Funduszu Gwarancyjnym, zgodę banku</w:t>
            </w:r>
            <w:r w:rsidR="00510FD4" w:rsidRPr="00715DB9">
              <w:rPr>
                <w:rFonts w:ascii="Titillium" w:eastAsia="Times New Roman" w:hAnsi="Titillium" w:cs="Times New Roman"/>
                <w:sz w:val="16"/>
                <w:szCs w:val="16"/>
              </w:rPr>
              <w:t>, kasy</w:t>
            </w:r>
            <w:r w:rsidRPr="00715DB9">
              <w:rPr>
                <w:rFonts w:ascii="Titillium" w:eastAsia="Times New Roman" w:hAnsi="Titillium" w:cs="Times New Roman"/>
                <w:sz w:val="16"/>
                <w:szCs w:val="16"/>
              </w:rPr>
              <w:t xml:space="preserve"> lub innego wierzyciela hipotecznego na </w:t>
            </w:r>
            <w:proofErr w:type="spellStart"/>
            <w:r w:rsidRPr="00715DB9">
              <w:rPr>
                <w:rFonts w:ascii="Titillium" w:eastAsia="Times New Roman" w:hAnsi="Titillium" w:cs="Times New Roman"/>
                <w:sz w:val="16"/>
                <w:szCs w:val="16"/>
              </w:rPr>
              <w:t>bezobciążeniowe</w:t>
            </w:r>
            <w:proofErr w:type="spellEnd"/>
            <w:r w:rsidRPr="00715DB9">
              <w:rPr>
                <w:rFonts w:ascii="Titillium" w:eastAsia="Times New Roman" w:hAnsi="Titillium" w:cs="Times New Roman"/>
                <w:sz w:val="16"/>
                <w:szCs w:val="16"/>
              </w:rPr>
              <w:t xml:space="preserve"> przeniesienie własności lokalu użytkowego na nabywcę po wpłacie pełnej ceny przez nabywcę lub zobowiązanie do udzielenia takiej zgody, jeżeli takie obciążenie istnieje, albo zgodę banku</w:t>
            </w:r>
            <w:r w:rsidR="00510FD4" w:rsidRPr="00715DB9">
              <w:rPr>
                <w:rFonts w:ascii="Titillium" w:eastAsia="Times New Roman" w:hAnsi="Titillium" w:cs="Times New Roman"/>
                <w:sz w:val="16"/>
                <w:szCs w:val="16"/>
              </w:rPr>
              <w:t>, kasy</w:t>
            </w:r>
            <w:r w:rsidRPr="00715DB9">
              <w:rPr>
                <w:rFonts w:ascii="Titillium" w:eastAsia="Times New Roman" w:hAnsi="Titillium" w:cs="Times New Roman"/>
                <w:sz w:val="16"/>
                <w:szCs w:val="16"/>
              </w:rPr>
              <w:t xml:space="preserve"> lub innego wierzyciela hipotecznego na </w:t>
            </w:r>
            <w:proofErr w:type="spellStart"/>
            <w:r w:rsidRPr="00715DB9">
              <w:rPr>
                <w:rFonts w:ascii="Titillium" w:eastAsia="Times New Roman" w:hAnsi="Titillium" w:cs="Times New Roman"/>
                <w:sz w:val="16"/>
                <w:szCs w:val="16"/>
              </w:rPr>
              <w:t>bezobciążeniowe</w:t>
            </w:r>
            <w:proofErr w:type="spellEnd"/>
            <w:r w:rsidRPr="00715DB9">
              <w:rPr>
                <w:rFonts w:ascii="Titillium" w:eastAsia="Times New Roman" w:hAnsi="Titillium" w:cs="Times New Roman"/>
                <w:sz w:val="16"/>
                <w:szCs w:val="16"/>
              </w:rPr>
              <w:t xml:space="preserve"> przeniesienie na nabywcę ułamkowej części własności lokalu użytkowego po wpłacie pełnej ceny przez nabywcę lub zobowiązanie do udzielenia takiej zgody, jeżeli takie obciążenie istnieje,</w:t>
            </w:r>
          </w:p>
          <w:p w14:paraId="66883D0F" w14:textId="09ACE311" w:rsidR="00FF13B4" w:rsidRPr="00BD6955" w:rsidRDefault="00FF13B4" w:rsidP="00FB6773">
            <w:pPr>
              <w:ind w:left="2"/>
              <w:jc w:val="both"/>
              <w:rPr>
                <w:rFonts w:ascii="Titillium" w:eastAsia="Times New Roman" w:hAnsi="Titillium" w:cs="Times New Roman"/>
                <w:sz w:val="16"/>
                <w:szCs w:val="16"/>
              </w:rPr>
            </w:pPr>
            <w:r w:rsidRPr="00756984">
              <w:rPr>
                <w:rFonts w:ascii="Titillium" w:eastAsia="Times New Roman" w:hAnsi="Titillium" w:cs="Times New Roman"/>
                <w:sz w:val="16"/>
                <w:szCs w:val="16"/>
              </w:rPr>
              <w:t xml:space="preserve">10) pismem Podlaskiego Urzędu Wojewódzkiego w Białymstoku z dnia </w:t>
            </w:r>
            <w:r w:rsidR="00BD6955">
              <w:rPr>
                <w:rFonts w:ascii="Titillium" w:eastAsia="Times New Roman" w:hAnsi="Titillium" w:cs="Times New Roman"/>
                <w:sz w:val="16"/>
                <w:szCs w:val="16"/>
              </w:rPr>
              <w:t>26</w:t>
            </w:r>
            <w:r w:rsidRPr="00756984">
              <w:rPr>
                <w:rFonts w:ascii="Titillium" w:eastAsia="Times New Roman" w:hAnsi="Titillium" w:cs="Times New Roman"/>
                <w:sz w:val="16"/>
                <w:szCs w:val="16"/>
              </w:rPr>
              <w:t>.</w:t>
            </w:r>
            <w:r w:rsidR="00C801A2" w:rsidRPr="00756984">
              <w:rPr>
                <w:rFonts w:ascii="Titillium" w:eastAsia="Times New Roman" w:hAnsi="Titillium" w:cs="Times New Roman"/>
                <w:sz w:val="16"/>
                <w:szCs w:val="16"/>
              </w:rPr>
              <w:t>0</w:t>
            </w:r>
            <w:r w:rsidR="00BD6955">
              <w:rPr>
                <w:rFonts w:ascii="Titillium" w:eastAsia="Times New Roman" w:hAnsi="Titillium" w:cs="Times New Roman"/>
                <w:sz w:val="16"/>
                <w:szCs w:val="16"/>
              </w:rPr>
              <w:t>2</w:t>
            </w:r>
            <w:r w:rsidRPr="00756984">
              <w:rPr>
                <w:rFonts w:ascii="Titillium" w:eastAsia="Times New Roman" w:hAnsi="Titillium" w:cs="Times New Roman"/>
                <w:sz w:val="16"/>
                <w:szCs w:val="16"/>
              </w:rPr>
              <w:t>.202</w:t>
            </w:r>
            <w:r w:rsidR="00BD6955">
              <w:rPr>
                <w:rFonts w:ascii="Titillium" w:eastAsia="Times New Roman" w:hAnsi="Titillium" w:cs="Times New Roman"/>
                <w:sz w:val="16"/>
                <w:szCs w:val="16"/>
              </w:rPr>
              <w:t>5</w:t>
            </w:r>
            <w:r w:rsidR="00C801A2" w:rsidRPr="00756984">
              <w:rPr>
                <w:rFonts w:ascii="Titillium" w:eastAsia="Times New Roman" w:hAnsi="Titillium" w:cs="Times New Roman"/>
                <w:sz w:val="16"/>
                <w:szCs w:val="16"/>
              </w:rPr>
              <w:t xml:space="preserve"> </w:t>
            </w:r>
            <w:r w:rsidRPr="00756984">
              <w:rPr>
                <w:rFonts w:ascii="Titillium" w:eastAsia="Times New Roman" w:hAnsi="Titillium" w:cs="Times New Roman"/>
                <w:sz w:val="16"/>
                <w:szCs w:val="16"/>
              </w:rPr>
              <w:t>r.</w:t>
            </w:r>
            <w:r w:rsidR="00C801A2" w:rsidRPr="00756984">
              <w:rPr>
                <w:rFonts w:ascii="Titillium" w:eastAsia="Times New Roman" w:hAnsi="Titillium" w:cs="Times New Roman"/>
                <w:sz w:val="16"/>
                <w:szCs w:val="16"/>
              </w:rPr>
              <w:t xml:space="preserve"> </w:t>
            </w:r>
            <w:r w:rsidRPr="00BD6955">
              <w:rPr>
                <w:rFonts w:ascii="Titillium" w:eastAsia="Times New Roman" w:hAnsi="Titillium" w:cs="Times New Roman"/>
                <w:sz w:val="16"/>
                <w:szCs w:val="16"/>
              </w:rPr>
              <w:t>znak AB-I.1331.</w:t>
            </w:r>
            <w:r w:rsidR="00BD6955" w:rsidRPr="00BD6955">
              <w:rPr>
                <w:rFonts w:ascii="Titillium" w:eastAsia="Times New Roman" w:hAnsi="Titillium" w:cs="Times New Roman"/>
                <w:sz w:val="16"/>
                <w:szCs w:val="16"/>
              </w:rPr>
              <w:t>3</w:t>
            </w:r>
            <w:r w:rsidRPr="00BD6955">
              <w:rPr>
                <w:rFonts w:ascii="Titillium" w:eastAsia="Times New Roman" w:hAnsi="Titillium" w:cs="Times New Roman"/>
                <w:sz w:val="16"/>
                <w:szCs w:val="16"/>
              </w:rPr>
              <w:t>.202</w:t>
            </w:r>
            <w:r w:rsidR="00BD6955" w:rsidRPr="00BD6955">
              <w:rPr>
                <w:rFonts w:ascii="Titillium" w:eastAsia="Times New Roman" w:hAnsi="Titillium" w:cs="Times New Roman"/>
                <w:sz w:val="16"/>
                <w:szCs w:val="16"/>
              </w:rPr>
              <w:t>5</w:t>
            </w:r>
            <w:r w:rsidRPr="00BD6955">
              <w:rPr>
                <w:rFonts w:ascii="Titillium" w:eastAsia="Times New Roman" w:hAnsi="Titillium" w:cs="Times New Roman"/>
                <w:sz w:val="16"/>
                <w:szCs w:val="16"/>
              </w:rPr>
              <w:t>.</w:t>
            </w:r>
            <w:r w:rsidR="00BD6955" w:rsidRPr="00BD6955">
              <w:rPr>
                <w:rFonts w:ascii="Titillium" w:eastAsia="Times New Roman" w:hAnsi="Titillium" w:cs="Times New Roman"/>
                <w:sz w:val="16"/>
                <w:szCs w:val="16"/>
              </w:rPr>
              <w:t>OW</w:t>
            </w:r>
            <w:r w:rsidR="0017097A" w:rsidRPr="00BD6955">
              <w:rPr>
                <w:rFonts w:ascii="Titillium" w:eastAsia="Times New Roman" w:hAnsi="Titillium" w:cs="Times New Roman"/>
                <w:sz w:val="16"/>
                <w:szCs w:val="16"/>
              </w:rPr>
              <w:t>;</w:t>
            </w:r>
          </w:p>
          <w:p w14:paraId="5EB7F92E" w14:textId="0E50A1C9" w:rsidR="00B25A40" w:rsidRPr="00BD6955" w:rsidRDefault="00B25A40" w:rsidP="00C801A2">
            <w:pPr>
              <w:ind w:left="2"/>
              <w:jc w:val="both"/>
              <w:rPr>
                <w:rFonts w:ascii="Titillium" w:eastAsia="Times New Roman" w:hAnsi="Titillium" w:cs="Times New Roman"/>
                <w:sz w:val="16"/>
                <w:szCs w:val="16"/>
              </w:rPr>
            </w:pPr>
            <w:r w:rsidRPr="00BD6955">
              <w:rPr>
                <w:rFonts w:ascii="Titillium" w:eastAsia="Times New Roman" w:hAnsi="Titillium" w:cs="Times New Roman"/>
                <w:sz w:val="16"/>
                <w:szCs w:val="16"/>
              </w:rPr>
              <w:t xml:space="preserve">11) pismem </w:t>
            </w:r>
            <w:r w:rsidR="00477F2B" w:rsidRPr="00BD6955">
              <w:rPr>
                <w:rFonts w:ascii="Titillium" w:eastAsia="Times New Roman" w:hAnsi="Titillium" w:cs="Times New Roman"/>
                <w:sz w:val="16"/>
                <w:szCs w:val="16"/>
              </w:rPr>
              <w:t>Urzędu Miejskiego w Białymstoku Departament Urbanistyki i Architektury</w:t>
            </w:r>
            <w:r w:rsidR="003319AA" w:rsidRPr="00BD6955">
              <w:rPr>
                <w:rFonts w:ascii="Titillium" w:eastAsia="Times New Roman" w:hAnsi="Titillium" w:cs="Times New Roman"/>
                <w:sz w:val="16"/>
                <w:szCs w:val="16"/>
              </w:rPr>
              <w:t xml:space="preserve"> z dnia </w:t>
            </w:r>
            <w:r w:rsidR="00BD6955" w:rsidRPr="00BD6955">
              <w:rPr>
                <w:rFonts w:ascii="Titillium" w:eastAsia="Times New Roman" w:hAnsi="Titillium" w:cs="Times New Roman"/>
                <w:sz w:val="16"/>
                <w:szCs w:val="16"/>
              </w:rPr>
              <w:t>19</w:t>
            </w:r>
            <w:r w:rsidR="003319AA" w:rsidRPr="00BD6955">
              <w:rPr>
                <w:rFonts w:ascii="Titillium" w:eastAsia="Times New Roman" w:hAnsi="Titillium" w:cs="Times New Roman"/>
                <w:sz w:val="16"/>
                <w:szCs w:val="16"/>
              </w:rPr>
              <w:t>.0</w:t>
            </w:r>
            <w:r w:rsidR="00BD6955" w:rsidRPr="00BD6955">
              <w:rPr>
                <w:rFonts w:ascii="Titillium" w:eastAsia="Times New Roman" w:hAnsi="Titillium" w:cs="Times New Roman"/>
                <w:sz w:val="16"/>
                <w:szCs w:val="16"/>
              </w:rPr>
              <w:t>2</w:t>
            </w:r>
            <w:r w:rsidR="003319AA" w:rsidRPr="00BD6955">
              <w:rPr>
                <w:rFonts w:ascii="Titillium" w:eastAsia="Times New Roman" w:hAnsi="Titillium" w:cs="Times New Roman"/>
                <w:sz w:val="16"/>
                <w:szCs w:val="16"/>
              </w:rPr>
              <w:t>.202</w:t>
            </w:r>
            <w:r w:rsidR="00BD6955" w:rsidRPr="00BD6955">
              <w:rPr>
                <w:rFonts w:ascii="Titillium" w:eastAsia="Times New Roman" w:hAnsi="Titillium" w:cs="Times New Roman"/>
                <w:sz w:val="16"/>
                <w:szCs w:val="16"/>
              </w:rPr>
              <w:t>5</w:t>
            </w:r>
            <w:r w:rsidR="003319AA" w:rsidRPr="00BD6955">
              <w:rPr>
                <w:rFonts w:ascii="Titillium" w:eastAsia="Times New Roman" w:hAnsi="Titillium" w:cs="Times New Roman"/>
                <w:sz w:val="16"/>
                <w:szCs w:val="16"/>
              </w:rPr>
              <w:t xml:space="preserve"> r., znak </w:t>
            </w:r>
            <w:r w:rsidR="00BD6955" w:rsidRPr="00BD6955">
              <w:rPr>
                <w:rFonts w:ascii="Titillium" w:eastAsia="Times New Roman" w:hAnsi="Titillium" w:cs="Times New Roman"/>
                <w:sz w:val="16"/>
                <w:szCs w:val="16"/>
              </w:rPr>
              <w:t>URB-V</w:t>
            </w:r>
            <w:r w:rsidR="003319AA" w:rsidRPr="00BD6955">
              <w:rPr>
                <w:rFonts w:ascii="Titillium" w:eastAsia="Times New Roman" w:hAnsi="Titillium" w:cs="Times New Roman"/>
                <w:sz w:val="16"/>
                <w:szCs w:val="16"/>
              </w:rPr>
              <w:t>.1431.</w:t>
            </w:r>
            <w:r w:rsidR="00FB6773" w:rsidRPr="00BD6955">
              <w:rPr>
                <w:rFonts w:ascii="Titillium" w:eastAsia="Times New Roman" w:hAnsi="Titillium" w:cs="Times New Roman"/>
                <w:sz w:val="16"/>
                <w:szCs w:val="16"/>
              </w:rPr>
              <w:t>9</w:t>
            </w:r>
            <w:r w:rsidR="003319AA" w:rsidRPr="00BD6955">
              <w:rPr>
                <w:rFonts w:ascii="Titillium" w:eastAsia="Times New Roman" w:hAnsi="Titillium" w:cs="Times New Roman"/>
                <w:sz w:val="16"/>
                <w:szCs w:val="16"/>
              </w:rPr>
              <w:t>.202</w:t>
            </w:r>
            <w:r w:rsidR="00BD6955" w:rsidRPr="00BD6955">
              <w:rPr>
                <w:rFonts w:ascii="Titillium" w:eastAsia="Times New Roman" w:hAnsi="Titillium" w:cs="Times New Roman"/>
                <w:sz w:val="16"/>
                <w:szCs w:val="16"/>
              </w:rPr>
              <w:t>5</w:t>
            </w:r>
            <w:r w:rsidR="0017097A" w:rsidRPr="00BD6955">
              <w:rPr>
                <w:rFonts w:ascii="Titillium" w:eastAsia="Times New Roman" w:hAnsi="Titillium" w:cs="Times New Roman"/>
                <w:sz w:val="16"/>
                <w:szCs w:val="16"/>
              </w:rPr>
              <w:t>.</w:t>
            </w:r>
          </w:p>
          <w:p w14:paraId="724BFFC0" w14:textId="77777777" w:rsidR="00E01B31" w:rsidRPr="00756984" w:rsidRDefault="00E01B31" w:rsidP="006C0B79">
            <w:pPr>
              <w:ind w:left="2"/>
              <w:jc w:val="both"/>
              <w:rPr>
                <w:rFonts w:ascii="Titillium" w:eastAsia="Times New Roman" w:hAnsi="Titillium" w:cs="Times New Roman"/>
                <w:sz w:val="16"/>
                <w:szCs w:val="16"/>
              </w:rPr>
            </w:pPr>
            <w:r w:rsidRPr="00756984">
              <w:rPr>
                <w:rFonts w:ascii="Titillium" w:eastAsia="Times New Roman" w:hAnsi="Titillium" w:cs="Times New Roman"/>
                <w:sz w:val="16"/>
                <w:szCs w:val="16"/>
              </w:rPr>
              <w:t>Z wyżej wymienionymi dokumentami można zapoznać się w siedzibie przedsiębiorstwa od poniedziałku do piątku w godzinach 7.00 – 15.15.</w:t>
            </w:r>
          </w:p>
          <w:p w14:paraId="7E8A13C3" w14:textId="77777777" w:rsidR="00E01B31" w:rsidRPr="00756984" w:rsidRDefault="00E01B31" w:rsidP="006C0B79">
            <w:pPr>
              <w:ind w:left="2"/>
              <w:jc w:val="both"/>
              <w:rPr>
                <w:rFonts w:ascii="Titillium" w:eastAsia="Times New Roman" w:hAnsi="Titillium" w:cs="Times New Roman"/>
                <w:sz w:val="16"/>
                <w:szCs w:val="16"/>
              </w:rPr>
            </w:pPr>
            <w:r w:rsidRPr="00756984">
              <w:rPr>
                <w:rFonts w:ascii="Titillium" w:eastAsia="Times New Roman" w:hAnsi="Titillium" w:cs="Times New Roman"/>
                <w:sz w:val="16"/>
                <w:szCs w:val="16"/>
              </w:rPr>
              <w:t xml:space="preserve">III. Informacja: </w:t>
            </w:r>
          </w:p>
          <w:p w14:paraId="672FFAC6" w14:textId="12DF5279" w:rsidR="00FB6773" w:rsidRPr="00756984" w:rsidRDefault="00FB6773" w:rsidP="00FB6773">
            <w:pPr>
              <w:ind w:left="2"/>
              <w:jc w:val="both"/>
              <w:rPr>
                <w:rFonts w:ascii="Titillium" w:eastAsia="Times New Roman" w:hAnsi="Titillium" w:cs="Times New Roman"/>
                <w:sz w:val="16"/>
                <w:szCs w:val="16"/>
              </w:rPr>
            </w:pPr>
            <w:r w:rsidRPr="00756984">
              <w:rPr>
                <w:rFonts w:ascii="Titillium" w:eastAsia="Times New Roman" w:hAnsi="Titillium" w:cs="Times New Roman"/>
                <w:sz w:val="16"/>
                <w:szCs w:val="16"/>
              </w:rPr>
              <w:t>Środki pieniężne zgromadzone w Banku Spółdzielczym w Białymstoku, ul. L. Zamenhofa 4, 15-435 Białystok, 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2022 r. poz. 2253 oraz z 2023 r. poz. 825</w:t>
            </w:r>
            <w:r w:rsidR="00837007">
              <w:rPr>
                <w:rFonts w:ascii="Titillium" w:eastAsia="Times New Roman" w:hAnsi="Titillium" w:cs="Times New Roman"/>
                <w:sz w:val="16"/>
                <w:szCs w:val="16"/>
              </w:rPr>
              <w:t>, 1705, 1784 i 1843</w:t>
            </w:r>
            <w:r w:rsidRPr="00756984">
              <w:rPr>
                <w:rFonts w:ascii="Titillium" w:eastAsia="Times New Roman" w:hAnsi="Titillium" w:cs="Times New Roman"/>
                <w:sz w:val="16"/>
                <w:szCs w:val="16"/>
              </w:rPr>
              <w:t xml:space="preserve">). </w:t>
            </w:r>
          </w:p>
          <w:p w14:paraId="790750F8" w14:textId="366F4ED4" w:rsidR="00E01B31" w:rsidRPr="00756984" w:rsidRDefault="00E01B31" w:rsidP="00FB6773">
            <w:pPr>
              <w:jc w:val="both"/>
              <w:rPr>
                <w:rFonts w:ascii="Titillium" w:eastAsia="Times New Roman" w:hAnsi="Titillium" w:cs="Times New Roman"/>
                <w:sz w:val="16"/>
                <w:szCs w:val="16"/>
              </w:rPr>
            </w:pPr>
            <w:r w:rsidRPr="00756984">
              <w:rPr>
                <w:rFonts w:ascii="Titillium" w:eastAsia="Times New Roman" w:hAnsi="Titillium" w:cs="Times New Roman"/>
                <w:sz w:val="16"/>
                <w:szCs w:val="16"/>
              </w:rPr>
              <w:t xml:space="preserve">Informacje podstawowe o obowiązkowym systemie gwarantowania depozytów: </w:t>
            </w:r>
          </w:p>
          <w:p w14:paraId="60E42FA4" w14:textId="23ECD5F2" w:rsidR="000374B9" w:rsidRPr="00756984" w:rsidRDefault="00E01B31" w:rsidP="000374B9">
            <w:pPr>
              <w:ind w:left="2"/>
              <w:jc w:val="both"/>
              <w:rPr>
                <w:rFonts w:ascii="Titillium" w:eastAsia="Times New Roman" w:hAnsi="Titillium" w:cs="Times New Roman"/>
                <w:sz w:val="16"/>
                <w:szCs w:val="16"/>
              </w:rPr>
            </w:pPr>
            <w:r w:rsidRPr="00756984">
              <w:rPr>
                <w:rFonts w:ascii="Titillium" w:eastAsia="Times New Roman" w:hAnsi="Titillium" w:cs="Times New Roman"/>
                <w:sz w:val="16"/>
                <w:szCs w:val="16"/>
              </w:rPr>
              <w:t xml:space="preserve">– ochrona środków dotyczy sytuacji spełnienia warunku gwarancji wobec </w:t>
            </w:r>
            <w:r w:rsidR="000374B9" w:rsidRPr="00756984">
              <w:rPr>
                <w:rFonts w:ascii="Titillium" w:eastAsia="Times New Roman" w:hAnsi="Titillium" w:cs="Times New Roman"/>
                <w:sz w:val="16"/>
                <w:szCs w:val="16"/>
              </w:rPr>
              <w:t>Banku Spółdzielczego w Białymstoku, ul. L. Zamenhofa 4, 15-435 Białystok ,</w:t>
            </w:r>
          </w:p>
          <w:p w14:paraId="092DA073" w14:textId="6270250B" w:rsidR="00E01B31" w:rsidRPr="00E01B31" w:rsidRDefault="00E01B31" w:rsidP="006C0B79">
            <w:pPr>
              <w:ind w:left="2"/>
              <w:jc w:val="both"/>
              <w:rPr>
                <w:rFonts w:ascii="Titillium" w:eastAsia="Times New Roman" w:hAnsi="Titillium" w:cs="Times New Roman"/>
                <w:sz w:val="16"/>
                <w:szCs w:val="16"/>
              </w:rPr>
            </w:pPr>
            <w:r w:rsidRPr="00E01B31">
              <w:rPr>
                <w:rFonts w:ascii="Titillium" w:eastAsia="Times New Roman" w:hAnsi="Titillium" w:cs="Times New Roman"/>
                <w:sz w:val="16"/>
                <w:szCs w:val="16"/>
              </w:rPr>
              <w:t>–</w:t>
            </w:r>
            <w:r>
              <w:rPr>
                <w:rFonts w:ascii="Titillium" w:eastAsia="Times New Roman" w:hAnsi="Titillium" w:cs="Times New Roman"/>
                <w:sz w:val="16"/>
                <w:szCs w:val="16"/>
              </w:rPr>
              <w:t xml:space="preserve"> </w:t>
            </w:r>
            <w:r w:rsidRPr="00E01B31">
              <w:rPr>
                <w:rFonts w:ascii="Titillium" w:eastAsia="Times New Roman" w:hAnsi="Titillium" w:cs="Times New Roman"/>
                <w:sz w:val="16"/>
                <w:szCs w:val="16"/>
              </w:rPr>
              <w:t xml:space="preserve">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 </w:t>
            </w:r>
          </w:p>
          <w:p w14:paraId="36710FA1" w14:textId="49317692" w:rsidR="00E01B31" w:rsidRPr="00715DB9" w:rsidRDefault="00E01B31" w:rsidP="006C0B79">
            <w:pPr>
              <w:ind w:left="2"/>
              <w:jc w:val="both"/>
              <w:rPr>
                <w:rFonts w:ascii="Titillium" w:eastAsia="Times New Roman" w:hAnsi="Titillium" w:cs="Times New Roman"/>
                <w:sz w:val="16"/>
                <w:szCs w:val="16"/>
              </w:rPr>
            </w:pPr>
            <w:r w:rsidRPr="00E01B31">
              <w:rPr>
                <w:rFonts w:ascii="Titillium" w:eastAsia="Times New Roman" w:hAnsi="Titillium" w:cs="Times New Roman"/>
                <w:sz w:val="16"/>
                <w:szCs w:val="16"/>
              </w:rPr>
              <w:t>–</w:t>
            </w:r>
            <w:r>
              <w:rPr>
                <w:rFonts w:ascii="Titillium" w:eastAsia="Times New Roman" w:hAnsi="Titillium" w:cs="Times New Roman"/>
                <w:sz w:val="16"/>
                <w:szCs w:val="16"/>
              </w:rPr>
              <w:t xml:space="preserve"> </w:t>
            </w:r>
            <w:r w:rsidRPr="00E01B31">
              <w:rPr>
                <w:rFonts w:ascii="Titillium" w:eastAsia="Times New Roman" w:hAnsi="Titillium" w:cs="Times New Roman"/>
                <w:sz w:val="16"/>
                <w:szCs w:val="16"/>
              </w:rPr>
              <w:t xml:space="preserve">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w:t>
            </w:r>
            <w:r w:rsidRPr="00715DB9">
              <w:rPr>
                <w:rFonts w:ascii="Titillium" w:eastAsia="Times New Roman" w:hAnsi="Titillium" w:cs="Times New Roman"/>
                <w:sz w:val="16"/>
                <w:szCs w:val="16"/>
              </w:rPr>
              <w:t xml:space="preserve">deponenta, w terminie 3 miesięcy od dnia ich wpływu na rachunek, objęte są gwarancjami ponad równowartość w złotych 100 000 euro, </w:t>
            </w:r>
          </w:p>
          <w:p w14:paraId="2A7161A4" w14:textId="125D91BE" w:rsidR="00E01B31" w:rsidRPr="00715DB9" w:rsidRDefault="00E01B31" w:rsidP="006C0B79">
            <w:pPr>
              <w:ind w:left="2"/>
              <w:jc w:val="both"/>
              <w:rPr>
                <w:rFonts w:ascii="Titillium" w:eastAsia="Times New Roman" w:hAnsi="Titillium" w:cs="Times New Roman"/>
                <w:sz w:val="16"/>
                <w:szCs w:val="16"/>
              </w:rPr>
            </w:pPr>
            <w:r w:rsidRPr="00715DB9">
              <w:rPr>
                <w:rFonts w:ascii="Titillium" w:eastAsia="Times New Roman" w:hAnsi="Titillium" w:cs="Times New Roman"/>
                <w:sz w:val="16"/>
                <w:szCs w:val="16"/>
              </w:rPr>
              <w:t>–</w:t>
            </w:r>
            <w:r w:rsidR="006F1D50" w:rsidRPr="00715DB9">
              <w:rPr>
                <w:rFonts w:ascii="Titillium" w:eastAsia="Times New Roman" w:hAnsi="Titillium" w:cs="Times New Roman"/>
                <w:sz w:val="16"/>
                <w:szCs w:val="16"/>
              </w:rPr>
              <w:t xml:space="preserve"> </w:t>
            </w:r>
            <w:r w:rsidRPr="00715DB9">
              <w:rPr>
                <w:rFonts w:ascii="Titillium" w:eastAsia="Times New Roman" w:hAnsi="Titillium" w:cs="Times New Roman"/>
                <w:sz w:val="16"/>
                <w:szCs w:val="16"/>
              </w:rPr>
              <w:t>podstawą wyliczenia kwoty środków gwarantowanych należnej deponentowi jest suma wszystkich podlegających ochronie należności tego deponenta od banku</w:t>
            </w:r>
            <w:r w:rsidR="00510FD4" w:rsidRPr="00715DB9">
              <w:rPr>
                <w:rFonts w:ascii="Titillium" w:eastAsia="Times New Roman" w:hAnsi="Titillium" w:cs="Times New Roman"/>
                <w:sz w:val="16"/>
                <w:szCs w:val="16"/>
              </w:rPr>
              <w:t xml:space="preserve"> lub kasy</w:t>
            </w:r>
            <w:r w:rsidRPr="00715DB9">
              <w:rPr>
                <w:rFonts w:ascii="Titillium" w:eastAsia="Times New Roman" w:hAnsi="Titillium" w:cs="Times New Roman"/>
                <w:sz w:val="16"/>
                <w:szCs w:val="16"/>
              </w:rPr>
              <w:t xml:space="preserve">, w tym należności z tytułu środków zgromadzonych na jego rachunkach osobistych i z tytułu jego udziału w środkach zgromadzonych na rachunku powierniczym, </w:t>
            </w:r>
          </w:p>
          <w:p w14:paraId="5ABB955C" w14:textId="5343E69C" w:rsidR="00E01B31" w:rsidRPr="00715DB9" w:rsidRDefault="00E01B31" w:rsidP="006C0B79">
            <w:pPr>
              <w:ind w:left="2"/>
              <w:jc w:val="both"/>
              <w:rPr>
                <w:rFonts w:ascii="Titillium" w:eastAsia="Times New Roman" w:hAnsi="Titillium" w:cs="Times New Roman"/>
                <w:sz w:val="16"/>
                <w:szCs w:val="16"/>
              </w:rPr>
            </w:pPr>
            <w:r w:rsidRPr="00715DB9">
              <w:rPr>
                <w:rFonts w:ascii="Titillium" w:eastAsia="Times New Roman" w:hAnsi="Titillium" w:cs="Times New Roman"/>
                <w:sz w:val="16"/>
                <w:szCs w:val="16"/>
              </w:rPr>
              <w:t>–</w:t>
            </w:r>
            <w:r w:rsidR="006F1D50" w:rsidRPr="00715DB9">
              <w:rPr>
                <w:rFonts w:ascii="Titillium" w:eastAsia="Times New Roman" w:hAnsi="Titillium" w:cs="Times New Roman"/>
                <w:sz w:val="16"/>
                <w:szCs w:val="16"/>
              </w:rPr>
              <w:t xml:space="preserve"> </w:t>
            </w:r>
            <w:r w:rsidRPr="00715DB9">
              <w:rPr>
                <w:rFonts w:ascii="Titillium" w:eastAsia="Times New Roman" w:hAnsi="Titillium" w:cs="Times New Roman"/>
                <w:sz w:val="16"/>
                <w:szCs w:val="16"/>
              </w:rPr>
              <w:t>wypłata środków gwarantowanych – co do zasady – następuje w terminie 7 dni roboczych od dnia spełnienia warunku gwarancji wobec banku</w:t>
            </w:r>
            <w:r w:rsidR="00510FD4" w:rsidRPr="00715DB9">
              <w:rPr>
                <w:rFonts w:ascii="Titillium" w:eastAsia="Times New Roman" w:hAnsi="Titillium" w:cs="Times New Roman"/>
                <w:sz w:val="16"/>
                <w:szCs w:val="16"/>
              </w:rPr>
              <w:t xml:space="preserve"> lub kasy</w:t>
            </w:r>
            <w:r w:rsidRPr="00715DB9">
              <w:rPr>
                <w:rFonts w:ascii="Titillium" w:eastAsia="Times New Roman" w:hAnsi="Titillium" w:cs="Times New Roman"/>
                <w:sz w:val="16"/>
                <w:szCs w:val="16"/>
              </w:rPr>
              <w:t xml:space="preserve">, </w:t>
            </w:r>
          </w:p>
          <w:p w14:paraId="695DE0E2" w14:textId="2CE25BCD" w:rsidR="00E01B31" w:rsidRDefault="00E01B31" w:rsidP="006C0B79">
            <w:pPr>
              <w:ind w:left="2"/>
              <w:jc w:val="both"/>
              <w:rPr>
                <w:rFonts w:ascii="Titillium" w:eastAsia="Times New Roman" w:hAnsi="Titillium" w:cs="Times New Roman"/>
                <w:sz w:val="16"/>
                <w:szCs w:val="16"/>
              </w:rPr>
            </w:pPr>
            <w:r w:rsidRPr="00E01B31">
              <w:rPr>
                <w:rFonts w:ascii="Titillium" w:eastAsia="Times New Roman" w:hAnsi="Titillium" w:cs="Times New Roman"/>
                <w:sz w:val="16"/>
                <w:szCs w:val="16"/>
              </w:rPr>
              <w:t>–</w:t>
            </w:r>
            <w:r w:rsidR="006F1D50">
              <w:rPr>
                <w:rFonts w:ascii="Titillium" w:eastAsia="Times New Roman" w:hAnsi="Titillium" w:cs="Times New Roman"/>
                <w:sz w:val="16"/>
                <w:szCs w:val="16"/>
              </w:rPr>
              <w:t xml:space="preserve"> </w:t>
            </w:r>
            <w:r w:rsidRPr="00E01B31">
              <w:rPr>
                <w:rFonts w:ascii="Titillium" w:eastAsia="Times New Roman" w:hAnsi="Titillium" w:cs="Times New Roman"/>
                <w:sz w:val="16"/>
                <w:szCs w:val="16"/>
              </w:rPr>
              <w:t xml:space="preserve">wypłata środków gwarantowanych jest dokonywana w złotych, </w:t>
            </w:r>
          </w:p>
          <w:p w14:paraId="7B812045" w14:textId="4FAF5880" w:rsidR="00C3131E" w:rsidRDefault="00C3131E" w:rsidP="006C0B79">
            <w:pPr>
              <w:ind w:left="2"/>
              <w:jc w:val="both"/>
              <w:rPr>
                <w:rFonts w:ascii="Titillium" w:eastAsia="Times New Roman" w:hAnsi="Titillium" w:cs="Times New Roman"/>
                <w:sz w:val="16"/>
                <w:szCs w:val="16"/>
              </w:rPr>
            </w:pPr>
            <w:r w:rsidRPr="00756984">
              <w:rPr>
                <w:rFonts w:ascii="Titillium" w:eastAsia="Times New Roman" w:hAnsi="Titillium" w:cs="Times New Roman"/>
                <w:sz w:val="16"/>
                <w:szCs w:val="16"/>
              </w:rPr>
              <w:t>– Bank Spółdzielcz</w:t>
            </w:r>
            <w:r w:rsidR="007077B3" w:rsidRPr="00756984">
              <w:rPr>
                <w:rFonts w:ascii="Titillium" w:eastAsia="Times New Roman" w:hAnsi="Titillium" w:cs="Times New Roman"/>
                <w:sz w:val="16"/>
                <w:szCs w:val="16"/>
              </w:rPr>
              <w:t>y</w:t>
            </w:r>
            <w:r w:rsidRPr="00756984">
              <w:rPr>
                <w:rFonts w:ascii="Titillium" w:eastAsia="Times New Roman" w:hAnsi="Titillium" w:cs="Times New Roman"/>
                <w:sz w:val="16"/>
                <w:szCs w:val="16"/>
              </w:rPr>
              <w:t xml:space="preserve"> w Białymstoku, ul. L. Zamenhofa 4, 15-435 Białystok korzysta także z następujących znaków towarowych:  </w:t>
            </w:r>
          </w:p>
          <w:p w14:paraId="0284EE88" w14:textId="6ECDF58C" w:rsidR="00C3131E" w:rsidRDefault="00C3131E" w:rsidP="00C3131E">
            <w:pPr>
              <w:ind w:left="2"/>
              <w:jc w:val="both"/>
              <w:rPr>
                <w:rFonts w:ascii="Titillium" w:eastAsia="Times New Roman" w:hAnsi="Titillium" w:cs="Times New Roman"/>
                <w:sz w:val="16"/>
                <w:szCs w:val="16"/>
              </w:rPr>
            </w:pPr>
            <w:r>
              <w:rPr>
                <w:rFonts w:ascii="Titillium" w:eastAsia="Times New Roman" w:hAnsi="Titillium" w:cs="Times New Roman"/>
                <w:noProof/>
                <w:sz w:val="16"/>
                <w:szCs w:val="16"/>
              </w:rPr>
              <w:drawing>
                <wp:inline distT="0" distB="0" distL="0" distR="0" wp14:anchorId="581B9451" wp14:editId="54CA1AAE">
                  <wp:extent cx="749935" cy="499745"/>
                  <wp:effectExtent l="0" t="0" r="0" b="0"/>
                  <wp:docPr id="12506744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9935" cy="499745"/>
                          </a:xfrm>
                          <a:prstGeom prst="rect">
                            <a:avLst/>
                          </a:prstGeom>
                          <a:noFill/>
                        </pic:spPr>
                      </pic:pic>
                    </a:graphicData>
                  </a:graphic>
                </wp:inline>
              </w:drawing>
            </w:r>
          </w:p>
          <w:p w14:paraId="752073FD" w14:textId="77777777" w:rsidR="00C47399" w:rsidRPr="00C47399" w:rsidRDefault="00C47399" w:rsidP="00C47399">
            <w:pPr>
              <w:ind w:left="2"/>
              <w:jc w:val="both"/>
              <w:rPr>
                <w:rFonts w:ascii="Titillium" w:eastAsia="Times New Roman" w:hAnsi="Titillium" w:cs="Times New Roman"/>
                <w:sz w:val="16"/>
                <w:szCs w:val="16"/>
              </w:rPr>
            </w:pPr>
            <w:r w:rsidRPr="00C47399">
              <w:rPr>
                <w:rFonts w:ascii="Titillium" w:eastAsia="Times New Roman" w:hAnsi="Titillium" w:cs="Times New Roman"/>
                <w:sz w:val="16"/>
                <w:szCs w:val="16"/>
              </w:rPr>
              <w:t xml:space="preserve">Dalsze informacje na temat systemu gwarantowania depozytów można uzyskać na stronie internetowej Bankowego Funduszu Gwarancyjnego: https://www.bfg.pl/. </w:t>
            </w:r>
          </w:p>
          <w:p w14:paraId="790EB2FC" w14:textId="5A22B993" w:rsidR="00C47399" w:rsidRPr="00C47399" w:rsidRDefault="00C47399" w:rsidP="00C47399">
            <w:pPr>
              <w:ind w:left="2"/>
              <w:jc w:val="both"/>
              <w:rPr>
                <w:rFonts w:ascii="Titillium" w:eastAsia="Times New Roman" w:hAnsi="Titillium" w:cs="Times New Roman"/>
                <w:sz w:val="16"/>
                <w:szCs w:val="16"/>
              </w:rPr>
            </w:pPr>
            <w:r w:rsidRPr="00C47399">
              <w:rPr>
                <w:rFonts w:ascii="Titillium" w:eastAsia="Times New Roman" w:hAnsi="Titillium" w:cs="Times New Roman"/>
                <w:sz w:val="16"/>
                <w:szCs w:val="16"/>
              </w:rPr>
              <w:t>Informacja zamieszczana w przypadku zawarcia umowy mieszkaniowego rachunku powierniczego z oddziałem instytucji kredytowej w rozumieniu art. 4 ust. 1 pkt 18 ustawy z dnia 29 sierpnia 1997 r. – Prawo bankowe (Dz. U. z 202</w:t>
            </w:r>
            <w:r w:rsidR="00837007">
              <w:rPr>
                <w:rFonts w:ascii="Titillium" w:eastAsia="Times New Roman" w:hAnsi="Titillium" w:cs="Times New Roman"/>
                <w:sz w:val="16"/>
                <w:szCs w:val="16"/>
              </w:rPr>
              <w:t>3</w:t>
            </w:r>
            <w:r w:rsidRPr="00C47399">
              <w:rPr>
                <w:rFonts w:ascii="Titillium" w:eastAsia="Times New Roman" w:hAnsi="Titillium" w:cs="Times New Roman"/>
                <w:sz w:val="16"/>
                <w:szCs w:val="16"/>
              </w:rPr>
              <w:t xml:space="preserve"> r. poz. 2</w:t>
            </w:r>
            <w:r w:rsidR="00837007">
              <w:rPr>
                <w:rFonts w:ascii="Titillium" w:eastAsia="Times New Roman" w:hAnsi="Titillium" w:cs="Times New Roman"/>
                <w:sz w:val="16"/>
                <w:szCs w:val="16"/>
              </w:rPr>
              <w:t>488</w:t>
            </w:r>
            <w:r w:rsidRPr="00C47399">
              <w:rPr>
                <w:rFonts w:ascii="Titillium" w:eastAsia="Times New Roman" w:hAnsi="Titillium" w:cs="Times New Roman"/>
                <w:sz w:val="16"/>
                <w:szCs w:val="16"/>
              </w:rPr>
              <w:t xml:space="preserve">). </w:t>
            </w:r>
          </w:p>
          <w:p w14:paraId="60E2F689" w14:textId="43F553F9" w:rsidR="006F1D50" w:rsidRDefault="00C47399" w:rsidP="00C47399">
            <w:pPr>
              <w:jc w:val="both"/>
              <w:rPr>
                <w:rFonts w:ascii="Titillium" w:eastAsia="Times New Roman" w:hAnsi="Titillium" w:cs="Times New Roman"/>
                <w:sz w:val="16"/>
                <w:szCs w:val="16"/>
              </w:rPr>
            </w:pPr>
            <w:r w:rsidRPr="00C47399">
              <w:rPr>
                <w:rFonts w:ascii="Titillium" w:eastAsia="Times New Roman" w:hAnsi="Titillium" w:cs="Times New Roman"/>
                <w:sz w:val="16"/>
                <w:szCs w:val="16"/>
              </w:rPr>
              <w:t>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oraz przymusowej restrukturyzacji.</w:t>
            </w:r>
          </w:p>
          <w:p w14:paraId="47081693" w14:textId="1C56D2A8" w:rsidR="0060285C" w:rsidRDefault="00FB1082" w:rsidP="00FB1082">
            <w:pPr>
              <w:rPr>
                <w:rFonts w:ascii="Titillium" w:eastAsia="Times New Roman" w:hAnsi="Titillium" w:cs="Times New Roman"/>
                <w:sz w:val="16"/>
                <w:szCs w:val="16"/>
              </w:rPr>
            </w:pPr>
            <w:r w:rsidRPr="00FB1082">
              <w:rPr>
                <w:rFonts w:ascii="Titillium" w:eastAsia="Times New Roman" w:hAnsi="Titillium" w:cs="Times New Roman"/>
                <w:sz w:val="16"/>
                <w:szCs w:val="16"/>
              </w:rPr>
              <w:t>Informacje dodatkowe:</w:t>
            </w:r>
          </w:p>
          <w:p w14:paraId="250CFE8A" w14:textId="3CF80A81" w:rsidR="00AC4739" w:rsidRDefault="00AC4739" w:rsidP="00AC4739">
            <w:pPr>
              <w:rPr>
                <w:rFonts w:ascii="Titillium" w:eastAsia="Times New Roman" w:hAnsi="Titillium" w:cs="Times New Roman"/>
                <w:sz w:val="16"/>
                <w:szCs w:val="16"/>
              </w:rPr>
            </w:pPr>
            <w:r w:rsidRPr="00AC4739">
              <w:rPr>
                <w:rFonts w:ascii="Titillium" w:eastAsia="Times New Roman" w:hAnsi="Titillium" w:cs="Times New Roman"/>
                <w:sz w:val="16"/>
                <w:szCs w:val="16"/>
              </w:rPr>
              <w:t xml:space="preserve">- Deweloper zastrzega sobie prawo do dokonania podziału przedmiotowej Nieruchomości </w:t>
            </w:r>
            <w:r>
              <w:rPr>
                <w:rFonts w:ascii="Titillium" w:eastAsia="Times New Roman" w:hAnsi="Titillium" w:cs="Times New Roman"/>
                <w:sz w:val="16"/>
                <w:szCs w:val="16"/>
              </w:rPr>
              <w:t>z</w:t>
            </w:r>
            <w:r w:rsidRPr="00AC4739">
              <w:rPr>
                <w:rFonts w:ascii="Titillium" w:eastAsia="Times New Roman" w:hAnsi="Titillium" w:cs="Times New Roman"/>
                <w:sz w:val="16"/>
                <w:szCs w:val="16"/>
              </w:rPr>
              <w:t>godnie z Postanowieniem URB-VII.6724.66.2025 z dnia 20.05.2025r</w:t>
            </w:r>
            <w:r>
              <w:rPr>
                <w:rFonts w:ascii="Titillium" w:eastAsia="Times New Roman" w:hAnsi="Titillium" w:cs="Times New Roman"/>
                <w:sz w:val="16"/>
                <w:szCs w:val="16"/>
              </w:rPr>
              <w:t xml:space="preserve"> </w:t>
            </w:r>
            <w:r w:rsidRPr="00AC4739">
              <w:rPr>
                <w:rFonts w:ascii="Titillium" w:eastAsia="Times New Roman" w:hAnsi="Titillium" w:cs="Times New Roman"/>
                <w:sz w:val="16"/>
                <w:szCs w:val="16"/>
              </w:rPr>
              <w:t>w ten sposób, iż działka nr 146/2 o pow. 0,0348 ha (obręb nr 11 – Śródmieście) zostanie podzielona na działkę nr 146/5 o pow. 0,0029 ha oraz działkę nr 146/6 o pow. 0,0319 ha</w:t>
            </w:r>
            <w:r>
              <w:rPr>
                <w:rFonts w:ascii="Titillium" w:eastAsia="Times New Roman" w:hAnsi="Titillium" w:cs="Times New Roman"/>
                <w:sz w:val="16"/>
                <w:szCs w:val="16"/>
              </w:rPr>
              <w:t>; d</w:t>
            </w:r>
            <w:r w:rsidRPr="00AC4739">
              <w:rPr>
                <w:rFonts w:ascii="Titillium" w:eastAsia="Times New Roman" w:hAnsi="Titillium" w:cs="Times New Roman"/>
                <w:sz w:val="16"/>
                <w:szCs w:val="16"/>
              </w:rPr>
              <w:t>ziałka nr 147/1 o pow. 0,0411 ha (obręb nr 11 – Śródmieście) zostanie podzielona na działkę nr 147/4 o pow. 0,0035 ha oraz działkę nr 147/5 o pow. 0,0376 ha</w:t>
            </w:r>
            <w:r>
              <w:rPr>
                <w:rFonts w:ascii="Titillium" w:eastAsia="Times New Roman" w:hAnsi="Titillium" w:cs="Times New Roman"/>
                <w:sz w:val="16"/>
                <w:szCs w:val="16"/>
              </w:rPr>
              <w:t>; d</w:t>
            </w:r>
            <w:r w:rsidRPr="00AC4739">
              <w:rPr>
                <w:rFonts w:ascii="Titillium" w:eastAsia="Times New Roman" w:hAnsi="Titillium" w:cs="Times New Roman"/>
                <w:sz w:val="16"/>
                <w:szCs w:val="16"/>
              </w:rPr>
              <w:t>ziałka nr 148/1 o pow. 0,0262 ha (obręb nr 11 – Śródmieście) zostanie podzielona na działkę nr 148/3 o pow. 0,0020 ha oraz działkę nr 148/4 o pow. 0,0242 ha</w:t>
            </w:r>
            <w:r>
              <w:rPr>
                <w:rFonts w:ascii="Titillium" w:eastAsia="Times New Roman" w:hAnsi="Titillium" w:cs="Times New Roman"/>
                <w:sz w:val="16"/>
                <w:szCs w:val="16"/>
              </w:rPr>
              <w:t>; d</w:t>
            </w:r>
            <w:r w:rsidRPr="00AC4739">
              <w:rPr>
                <w:rFonts w:ascii="Titillium" w:eastAsia="Times New Roman" w:hAnsi="Titillium" w:cs="Times New Roman"/>
                <w:sz w:val="16"/>
                <w:szCs w:val="16"/>
              </w:rPr>
              <w:t>ziałka nr 150/1 o pow. 0,0386 ha (obręb nr 11 – Śródmieście) zostanie podzielona na działkę nr 150/3 o pow. 0,0025 ha oraz działkę nr 150/4 o pow. 0,0361 ha;</w:t>
            </w:r>
          </w:p>
          <w:p w14:paraId="2545EA48" w14:textId="41D5613C" w:rsidR="00AC4739" w:rsidRPr="00FB1082" w:rsidRDefault="00AC4739" w:rsidP="00AC4739">
            <w:pPr>
              <w:rPr>
                <w:rFonts w:ascii="Titillium" w:eastAsia="Times New Roman" w:hAnsi="Titillium" w:cs="Times New Roman"/>
                <w:sz w:val="16"/>
                <w:szCs w:val="16"/>
              </w:rPr>
            </w:pPr>
            <w:r w:rsidRPr="00AC4739">
              <w:rPr>
                <w:rFonts w:ascii="Titillium" w:eastAsia="Times New Roman" w:hAnsi="Titillium" w:cs="Times New Roman"/>
                <w:sz w:val="16"/>
                <w:szCs w:val="16"/>
              </w:rPr>
              <w:t>Działk</w:t>
            </w:r>
            <w:r>
              <w:rPr>
                <w:rFonts w:ascii="Titillium" w:eastAsia="Times New Roman" w:hAnsi="Titillium" w:cs="Times New Roman"/>
                <w:sz w:val="16"/>
                <w:szCs w:val="16"/>
              </w:rPr>
              <w:t>i</w:t>
            </w:r>
            <w:r w:rsidRPr="00AC4739">
              <w:rPr>
                <w:rFonts w:ascii="Titillium" w:eastAsia="Times New Roman" w:hAnsi="Titillium" w:cs="Times New Roman"/>
                <w:sz w:val="16"/>
                <w:szCs w:val="16"/>
              </w:rPr>
              <w:t xml:space="preserve"> </w:t>
            </w:r>
            <w:r w:rsidR="004C76A0">
              <w:rPr>
                <w:rFonts w:ascii="Titillium" w:eastAsia="Times New Roman" w:hAnsi="Titillium" w:cs="Times New Roman"/>
                <w:sz w:val="16"/>
                <w:szCs w:val="16"/>
              </w:rPr>
              <w:t>nr</w:t>
            </w:r>
            <w:r w:rsidRPr="00AC4739">
              <w:rPr>
                <w:rFonts w:ascii="Titillium" w:eastAsia="Times New Roman" w:hAnsi="Titillium" w:cs="Times New Roman"/>
                <w:sz w:val="16"/>
                <w:szCs w:val="16"/>
              </w:rPr>
              <w:t xml:space="preserve"> 146/5 o pow. 0,0029 ha</w:t>
            </w:r>
            <w:r w:rsidR="004C76A0">
              <w:rPr>
                <w:rFonts w:ascii="Titillium" w:eastAsia="Times New Roman" w:hAnsi="Titillium" w:cs="Times New Roman"/>
                <w:sz w:val="16"/>
                <w:szCs w:val="16"/>
              </w:rPr>
              <w:t>;</w:t>
            </w:r>
            <w:r w:rsidRPr="00AC4739">
              <w:rPr>
                <w:rFonts w:ascii="Titillium" w:eastAsia="Times New Roman" w:hAnsi="Titillium" w:cs="Times New Roman"/>
                <w:sz w:val="16"/>
                <w:szCs w:val="16"/>
              </w:rPr>
              <w:t xml:space="preserve">  147/4 o pow. 0,0035 ha</w:t>
            </w:r>
            <w:r w:rsidR="004C76A0">
              <w:rPr>
                <w:rFonts w:ascii="Titillium" w:eastAsia="Times New Roman" w:hAnsi="Titillium" w:cs="Times New Roman"/>
                <w:sz w:val="16"/>
                <w:szCs w:val="16"/>
              </w:rPr>
              <w:t xml:space="preserve">; </w:t>
            </w:r>
            <w:r w:rsidRPr="00AC4739">
              <w:rPr>
                <w:rFonts w:ascii="Titillium" w:eastAsia="Times New Roman" w:hAnsi="Titillium" w:cs="Times New Roman"/>
                <w:sz w:val="16"/>
                <w:szCs w:val="16"/>
              </w:rPr>
              <w:t>148/3 o pow. 0,0020 ha</w:t>
            </w:r>
            <w:r w:rsidR="004C76A0">
              <w:rPr>
                <w:rFonts w:ascii="Titillium" w:eastAsia="Times New Roman" w:hAnsi="Titillium" w:cs="Times New Roman"/>
                <w:sz w:val="16"/>
                <w:szCs w:val="16"/>
              </w:rPr>
              <w:t>;</w:t>
            </w:r>
            <w:r w:rsidRPr="00AC4739">
              <w:rPr>
                <w:rFonts w:ascii="Titillium" w:eastAsia="Times New Roman" w:hAnsi="Titillium" w:cs="Times New Roman"/>
                <w:sz w:val="16"/>
                <w:szCs w:val="16"/>
              </w:rPr>
              <w:t xml:space="preserve"> 150/3 o pow. 0,0025 ha</w:t>
            </w:r>
            <w:r>
              <w:rPr>
                <w:rFonts w:ascii="Titillium" w:eastAsia="Times New Roman" w:hAnsi="Titillium" w:cs="Times New Roman"/>
                <w:sz w:val="16"/>
                <w:szCs w:val="16"/>
              </w:rPr>
              <w:t xml:space="preserve"> </w:t>
            </w:r>
            <w:r w:rsidR="004C76A0" w:rsidRPr="004C76A0">
              <w:rPr>
                <w:rFonts w:ascii="Titillium" w:eastAsia="Times New Roman" w:hAnsi="Titillium" w:cs="Times New Roman"/>
                <w:sz w:val="16"/>
                <w:szCs w:val="16"/>
              </w:rPr>
              <w:t xml:space="preserve">(obręb nr 11 – Śródmieście) </w:t>
            </w:r>
            <w:r>
              <w:rPr>
                <w:rFonts w:ascii="Titillium" w:eastAsia="Times New Roman" w:hAnsi="Titillium" w:cs="Times New Roman"/>
                <w:sz w:val="16"/>
                <w:szCs w:val="16"/>
              </w:rPr>
              <w:t xml:space="preserve">w </w:t>
            </w:r>
            <w:r w:rsidRPr="00AC4739">
              <w:rPr>
                <w:rFonts w:ascii="Titillium" w:eastAsia="Times New Roman" w:hAnsi="Titillium" w:cs="Times New Roman"/>
                <w:sz w:val="16"/>
                <w:szCs w:val="16"/>
              </w:rPr>
              <w:t>wyniku Postanowienia URB-VII.6724.66.2025 z dnia 20.05.2025r przejd</w:t>
            </w:r>
            <w:r>
              <w:rPr>
                <w:rFonts w:ascii="Titillium" w:eastAsia="Times New Roman" w:hAnsi="Titillium" w:cs="Times New Roman"/>
                <w:sz w:val="16"/>
                <w:szCs w:val="16"/>
              </w:rPr>
              <w:t>ą</w:t>
            </w:r>
            <w:r w:rsidRPr="00AC4739">
              <w:rPr>
                <w:rFonts w:ascii="Titillium" w:eastAsia="Times New Roman" w:hAnsi="Titillium" w:cs="Times New Roman"/>
                <w:sz w:val="16"/>
                <w:szCs w:val="16"/>
              </w:rPr>
              <w:t xml:space="preserve"> na własność Gminy Białystok, zostan</w:t>
            </w:r>
            <w:r>
              <w:rPr>
                <w:rFonts w:ascii="Titillium" w:eastAsia="Times New Roman" w:hAnsi="Titillium" w:cs="Times New Roman"/>
                <w:sz w:val="16"/>
                <w:szCs w:val="16"/>
              </w:rPr>
              <w:t>ą</w:t>
            </w:r>
            <w:r w:rsidRPr="00AC4739">
              <w:rPr>
                <w:rFonts w:ascii="Titillium" w:eastAsia="Times New Roman" w:hAnsi="Titillium" w:cs="Times New Roman"/>
                <w:sz w:val="16"/>
                <w:szCs w:val="16"/>
              </w:rPr>
              <w:t xml:space="preserve"> odłączon</w:t>
            </w:r>
            <w:r>
              <w:rPr>
                <w:rFonts w:ascii="Titillium" w:eastAsia="Times New Roman" w:hAnsi="Titillium" w:cs="Times New Roman"/>
                <w:sz w:val="16"/>
                <w:szCs w:val="16"/>
              </w:rPr>
              <w:t>e</w:t>
            </w:r>
            <w:r w:rsidRPr="00AC4739">
              <w:rPr>
                <w:rFonts w:ascii="Titillium" w:eastAsia="Times New Roman" w:hAnsi="Titillium" w:cs="Times New Roman"/>
                <w:sz w:val="16"/>
                <w:szCs w:val="16"/>
              </w:rPr>
              <w:t xml:space="preserve"> do osobnej Księgi Wieczystej i nie będ</w:t>
            </w:r>
            <w:r>
              <w:rPr>
                <w:rFonts w:ascii="Titillium" w:eastAsia="Times New Roman" w:hAnsi="Titillium" w:cs="Times New Roman"/>
                <w:sz w:val="16"/>
                <w:szCs w:val="16"/>
              </w:rPr>
              <w:t>ą</w:t>
            </w:r>
            <w:r w:rsidRPr="00AC4739">
              <w:rPr>
                <w:rFonts w:ascii="Titillium" w:eastAsia="Times New Roman" w:hAnsi="Titillium" w:cs="Times New Roman"/>
                <w:sz w:val="16"/>
                <w:szCs w:val="16"/>
              </w:rPr>
              <w:t xml:space="preserve"> stanowić przedmiotu Umowy deweloperskiej (nie będ</w:t>
            </w:r>
            <w:r>
              <w:rPr>
                <w:rFonts w:ascii="Titillium" w:eastAsia="Times New Roman" w:hAnsi="Titillium" w:cs="Times New Roman"/>
                <w:sz w:val="16"/>
                <w:szCs w:val="16"/>
              </w:rPr>
              <w:t>ą</w:t>
            </w:r>
            <w:r w:rsidRPr="00AC4739">
              <w:rPr>
                <w:rFonts w:ascii="Titillium" w:eastAsia="Times New Roman" w:hAnsi="Titillium" w:cs="Times New Roman"/>
                <w:sz w:val="16"/>
                <w:szCs w:val="16"/>
              </w:rPr>
              <w:t xml:space="preserve"> wchodzić w skład „Nieruchomości”); co nie wpływa na zmianę ceny za Lokal mieszkalny;</w:t>
            </w:r>
          </w:p>
          <w:p w14:paraId="391BD6F5" w14:textId="70CFC4CF" w:rsidR="00C47399" w:rsidRDefault="00C47399" w:rsidP="007C2E01">
            <w:pPr>
              <w:jc w:val="both"/>
              <w:rPr>
                <w:rFonts w:ascii="Titillium" w:eastAsia="Times New Roman" w:hAnsi="Titillium" w:cs="Times New Roman"/>
                <w:sz w:val="16"/>
                <w:szCs w:val="16"/>
              </w:rPr>
            </w:pPr>
            <w:r w:rsidRPr="00B12CAF">
              <w:rPr>
                <w:rFonts w:ascii="Titillium" w:eastAsia="Times New Roman" w:hAnsi="Titillium" w:cs="Times New Roman"/>
                <w:sz w:val="16"/>
                <w:szCs w:val="16"/>
              </w:rPr>
              <w:t xml:space="preserve">- Deweloper zastrzega sobie prawo do ustanowienia na przedmiotowej Nieruchomości </w:t>
            </w:r>
            <w:r w:rsidR="00C6238D" w:rsidRPr="00B12CAF">
              <w:rPr>
                <w:rFonts w:ascii="Titillium" w:eastAsia="Times New Roman" w:hAnsi="Titillium" w:cs="Times New Roman"/>
                <w:sz w:val="16"/>
                <w:szCs w:val="16"/>
              </w:rPr>
              <w:t xml:space="preserve">– ograniczonych praw rzeczowych, a to </w:t>
            </w:r>
            <w:r w:rsidRPr="00B12CAF">
              <w:rPr>
                <w:rFonts w:ascii="Titillium" w:eastAsia="Times New Roman" w:hAnsi="Titillium" w:cs="Times New Roman"/>
                <w:sz w:val="16"/>
                <w:szCs w:val="16"/>
              </w:rPr>
              <w:t>nieodpłatnych służebności gruntowych, na czas nieoznaczony na rzecz każdoczesnego właściciela poszczególnych lokali mieszkalnych</w:t>
            </w:r>
            <w:r w:rsidR="00C6238D" w:rsidRPr="00B12CAF">
              <w:rPr>
                <w:rFonts w:ascii="Titillium" w:eastAsia="Times New Roman" w:hAnsi="Titillium" w:cs="Times New Roman"/>
                <w:sz w:val="16"/>
                <w:szCs w:val="16"/>
              </w:rPr>
              <w:t xml:space="preserve"> i niemieszkalnych </w:t>
            </w:r>
            <w:r w:rsidR="00C6238D" w:rsidRPr="00B12CAF">
              <w:rPr>
                <w:rFonts w:ascii="Titillium" w:eastAsia="Times New Roman" w:hAnsi="Titillium" w:cs="Times New Roman"/>
                <w:sz w:val="16"/>
                <w:szCs w:val="16"/>
              </w:rPr>
              <w:lastRenderedPageBreak/>
              <w:t>(usługowych)</w:t>
            </w:r>
            <w:r w:rsidRPr="00B12CAF">
              <w:rPr>
                <w:rFonts w:ascii="Titillium" w:eastAsia="Times New Roman" w:hAnsi="Titillium" w:cs="Times New Roman"/>
                <w:sz w:val="16"/>
                <w:szCs w:val="16"/>
              </w:rPr>
              <w:t xml:space="preserve"> polegających na prawie do wyłącznego, bezterminowego i nieodpłatnego korzystania z miejsc postojowych </w:t>
            </w:r>
            <w:r w:rsidR="003B1EA0">
              <w:rPr>
                <w:rFonts w:ascii="Titillium" w:eastAsia="Times New Roman" w:hAnsi="Titillium" w:cs="Times New Roman"/>
                <w:sz w:val="16"/>
                <w:szCs w:val="16"/>
              </w:rPr>
              <w:t xml:space="preserve">oraz miejsc postojowych z boksami garażowymi </w:t>
            </w:r>
            <w:r w:rsidRPr="00B12CAF">
              <w:rPr>
                <w:rFonts w:ascii="Titillium" w:eastAsia="Times New Roman" w:hAnsi="Titillium" w:cs="Times New Roman"/>
                <w:sz w:val="16"/>
                <w:szCs w:val="16"/>
              </w:rPr>
              <w:t>znajdujących się w przedmiotowy</w:t>
            </w:r>
            <w:r w:rsidR="007C2E01" w:rsidRPr="00B12CAF">
              <w:rPr>
                <w:rFonts w:ascii="Titillium" w:eastAsia="Times New Roman" w:hAnsi="Titillium" w:cs="Times New Roman"/>
                <w:sz w:val="16"/>
                <w:szCs w:val="16"/>
              </w:rPr>
              <w:t>m</w:t>
            </w:r>
            <w:r w:rsidRPr="00B12CAF">
              <w:rPr>
                <w:rFonts w:ascii="Titillium" w:eastAsia="Times New Roman" w:hAnsi="Titillium" w:cs="Times New Roman"/>
                <w:sz w:val="16"/>
                <w:szCs w:val="16"/>
              </w:rPr>
              <w:t xml:space="preserve"> budynk</w:t>
            </w:r>
            <w:r w:rsidR="007C2E01" w:rsidRPr="00B12CAF">
              <w:rPr>
                <w:rFonts w:ascii="Titillium" w:eastAsia="Times New Roman" w:hAnsi="Titillium" w:cs="Times New Roman"/>
                <w:sz w:val="16"/>
                <w:szCs w:val="16"/>
              </w:rPr>
              <w:t>u</w:t>
            </w:r>
            <w:r w:rsidRPr="00B12CAF">
              <w:rPr>
                <w:rFonts w:ascii="Titillium" w:eastAsia="Times New Roman" w:hAnsi="Titillium" w:cs="Times New Roman"/>
                <w:sz w:val="16"/>
                <w:szCs w:val="16"/>
              </w:rPr>
              <w:t xml:space="preserve"> </w:t>
            </w:r>
            <w:r w:rsidR="0060285C">
              <w:rPr>
                <w:rFonts w:ascii="Titillium" w:eastAsia="Times New Roman" w:hAnsi="Titillium" w:cs="Times New Roman"/>
                <w:sz w:val="16"/>
                <w:szCs w:val="16"/>
              </w:rPr>
              <w:t xml:space="preserve">w dwukondygnacyjnym garażu G2 </w:t>
            </w:r>
            <w:r w:rsidRPr="00B12CAF">
              <w:rPr>
                <w:rFonts w:ascii="Titillium" w:eastAsia="Times New Roman" w:hAnsi="Titillium" w:cs="Times New Roman"/>
                <w:sz w:val="16"/>
                <w:szCs w:val="16"/>
              </w:rPr>
              <w:t xml:space="preserve">w </w:t>
            </w:r>
            <w:r w:rsidR="00063709" w:rsidRPr="00B12CAF">
              <w:rPr>
                <w:rFonts w:ascii="Titillium" w:eastAsia="Times New Roman" w:hAnsi="Titillium" w:cs="Times New Roman"/>
                <w:sz w:val="16"/>
                <w:szCs w:val="16"/>
              </w:rPr>
              <w:t xml:space="preserve">poziomie </w:t>
            </w:r>
            <w:r w:rsidR="00F13976" w:rsidRPr="00B12CAF">
              <w:rPr>
                <w:rFonts w:ascii="Titillium" w:eastAsia="Times New Roman" w:hAnsi="Titillium" w:cs="Times New Roman"/>
                <w:sz w:val="16"/>
                <w:szCs w:val="16"/>
              </w:rPr>
              <w:t xml:space="preserve">kondygnacji </w:t>
            </w:r>
            <w:r w:rsidR="0060285C">
              <w:rPr>
                <w:rFonts w:ascii="Titillium" w:eastAsia="Times New Roman" w:hAnsi="Titillium" w:cs="Times New Roman"/>
                <w:sz w:val="16"/>
                <w:szCs w:val="16"/>
              </w:rPr>
              <w:t>-1 oraz -2</w:t>
            </w:r>
            <w:r w:rsidR="007C2E01" w:rsidRPr="00B12CAF">
              <w:rPr>
                <w:rFonts w:ascii="Titillium" w:eastAsia="Times New Roman" w:hAnsi="Titillium" w:cs="Times New Roman"/>
                <w:sz w:val="16"/>
                <w:szCs w:val="16"/>
              </w:rPr>
              <w:t xml:space="preserve"> </w:t>
            </w:r>
            <w:r w:rsidRPr="00B12CAF">
              <w:rPr>
                <w:rFonts w:ascii="Titillium" w:eastAsia="Times New Roman" w:hAnsi="Titillium" w:cs="Times New Roman"/>
                <w:sz w:val="16"/>
                <w:szCs w:val="16"/>
              </w:rPr>
              <w:t>z obowiązkiem ponoszenia kosztów ich naprawy, konserwacji i bieżącego utrzymania;</w:t>
            </w:r>
          </w:p>
          <w:p w14:paraId="08FC6F68" w14:textId="4F50125A" w:rsidR="0060285C" w:rsidRPr="00B12CAF" w:rsidRDefault="0060285C" w:rsidP="007C2E01">
            <w:pPr>
              <w:jc w:val="both"/>
              <w:rPr>
                <w:rFonts w:ascii="Titillium" w:eastAsia="Times New Roman" w:hAnsi="Titillium" w:cs="Times New Roman"/>
                <w:sz w:val="16"/>
                <w:szCs w:val="16"/>
              </w:rPr>
            </w:pPr>
            <w:r w:rsidRPr="0060285C">
              <w:rPr>
                <w:rFonts w:ascii="Titillium" w:eastAsia="Times New Roman" w:hAnsi="Titillium" w:cs="Times New Roman"/>
                <w:sz w:val="16"/>
                <w:szCs w:val="16"/>
              </w:rPr>
              <w:t>- Deweloper zastrzega sobie prawo do ustanowienia na przedmiotowej Nieruchomości - ograniczonych praw rzeczowych, a to nieodpłatnych służebności gruntowych, na czas nieoznaczony, na rzecz każdoczesnych właścicieli lokali mieszkalnych, do których przylegają wygrodzone tarasy</w:t>
            </w:r>
            <w:r w:rsidR="00E54151">
              <w:rPr>
                <w:rFonts w:ascii="Titillium" w:eastAsia="Times New Roman" w:hAnsi="Titillium" w:cs="Times New Roman"/>
                <w:sz w:val="16"/>
                <w:szCs w:val="16"/>
              </w:rPr>
              <w:t>/logie</w:t>
            </w:r>
            <w:r w:rsidRPr="0060285C">
              <w:rPr>
                <w:rFonts w:ascii="Titillium" w:eastAsia="Times New Roman" w:hAnsi="Titillium" w:cs="Times New Roman"/>
                <w:sz w:val="16"/>
                <w:szCs w:val="16"/>
              </w:rPr>
              <w:t>, do których wyjście znajduje się bezpośrednio z danego lokalu, polegające na prawie do wyłącznego, bezterminowego i nieodpłatnego korzystania z takiego tarasu</w:t>
            </w:r>
            <w:r w:rsidR="00E54151">
              <w:rPr>
                <w:rFonts w:ascii="Titillium" w:eastAsia="Times New Roman" w:hAnsi="Titillium" w:cs="Times New Roman"/>
                <w:sz w:val="16"/>
                <w:szCs w:val="16"/>
              </w:rPr>
              <w:t xml:space="preserve">/logii; </w:t>
            </w:r>
          </w:p>
          <w:p w14:paraId="7C124759" w14:textId="47245FC4" w:rsidR="00C47399" w:rsidRPr="009454FA" w:rsidRDefault="00C47399" w:rsidP="007C2E01">
            <w:pPr>
              <w:jc w:val="both"/>
              <w:rPr>
                <w:rFonts w:ascii="Titillium" w:eastAsia="Times New Roman" w:hAnsi="Titillium" w:cs="Times New Roman"/>
                <w:sz w:val="16"/>
                <w:szCs w:val="16"/>
              </w:rPr>
            </w:pPr>
            <w:r w:rsidRPr="009454FA">
              <w:rPr>
                <w:rFonts w:ascii="Titillium" w:eastAsia="Times New Roman" w:hAnsi="Titillium" w:cs="Times New Roman"/>
                <w:sz w:val="16"/>
                <w:szCs w:val="16"/>
              </w:rPr>
              <w:t xml:space="preserve">- Deweloper zastrzega sobie prawo do ustanowienia na przedmiotowej Nieruchomości </w:t>
            </w:r>
            <w:r w:rsidR="00C6238D" w:rsidRPr="009454FA">
              <w:rPr>
                <w:rFonts w:ascii="Titillium" w:eastAsia="Times New Roman" w:hAnsi="Titillium" w:cs="Times New Roman"/>
                <w:sz w:val="16"/>
                <w:szCs w:val="16"/>
              </w:rPr>
              <w:t xml:space="preserve">– ograniczonych praw rzeczowych, a to </w:t>
            </w:r>
            <w:r w:rsidRPr="009454FA">
              <w:rPr>
                <w:rFonts w:ascii="Titillium" w:eastAsia="Times New Roman" w:hAnsi="Titillium" w:cs="Times New Roman"/>
                <w:sz w:val="16"/>
                <w:szCs w:val="16"/>
              </w:rPr>
              <w:t xml:space="preserve">nieodpłatnych służebności gruntowych na czas nieoznaczony na rzecz każdoczesnego właściciela lokali niemieszkalnych (usługowych), polegających na prawie do umieszczenia szyldu i reklamy – w miejscu uzgodnionym z autorem projektu architektonicznego, zgodnie z załącznikiem graficznym; </w:t>
            </w:r>
          </w:p>
          <w:p w14:paraId="3C108F8D" w14:textId="499D16B7" w:rsidR="00C47399" w:rsidRDefault="00C47399" w:rsidP="007C2E01">
            <w:pPr>
              <w:jc w:val="both"/>
              <w:rPr>
                <w:rFonts w:ascii="Titillium" w:eastAsia="Times New Roman" w:hAnsi="Titillium" w:cs="Times New Roman"/>
                <w:sz w:val="16"/>
                <w:szCs w:val="16"/>
              </w:rPr>
            </w:pPr>
            <w:r w:rsidRPr="009454FA">
              <w:rPr>
                <w:rFonts w:ascii="Titillium" w:eastAsia="Times New Roman" w:hAnsi="Titillium" w:cs="Times New Roman"/>
                <w:sz w:val="16"/>
                <w:szCs w:val="16"/>
              </w:rPr>
              <w:t>- Deweloper zastrzega sobie prawo do ustanowienia na przedmiotowej Nieruchomości</w:t>
            </w:r>
            <w:r w:rsidR="00C6238D" w:rsidRPr="009454FA">
              <w:rPr>
                <w:rFonts w:ascii="Titillium" w:eastAsia="Times New Roman" w:hAnsi="Titillium" w:cs="Times New Roman"/>
                <w:sz w:val="16"/>
                <w:szCs w:val="16"/>
              </w:rPr>
              <w:t xml:space="preserve"> – ograniczonych praw </w:t>
            </w:r>
            <w:r w:rsidR="00947862" w:rsidRPr="009454FA">
              <w:rPr>
                <w:rFonts w:ascii="Titillium" w:eastAsia="Times New Roman" w:hAnsi="Titillium" w:cs="Times New Roman"/>
                <w:sz w:val="16"/>
                <w:szCs w:val="16"/>
              </w:rPr>
              <w:t>rzeczowych, a to</w:t>
            </w:r>
            <w:r w:rsidRPr="009454FA">
              <w:rPr>
                <w:rFonts w:ascii="Titillium" w:eastAsia="Times New Roman" w:hAnsi="Titillium" w:cs="Times New Roman"/>
                <w:sz w:val="16"/>
                <w:szCs w:val="16"/>
              </w:rPr>
              <w:t xml:space="preserve"> nieodpłatnych służebności gruntowych na czas nieoznaczony na rzecz każdoczesnego właściciela lokali niemieszkalnych (usługowych), polegających na prawie do umieszczenia urządzeń klimatyzacyjnych wraz z niezbędnym osprzętem – w miejscu uzgodnionym z autorem projektu architektonicznego, zgodnie z załącznikiem graficznym;</w:t>
            </w:r>
          </w:p>
          <w:p w14:paraId="625FF148" w14:textId="551C5CFC" w:rsidR="00C47399" w:rsidRPr="0060285C" w:rsidRDefault="0060285C" w:rsidP="007C2E01">
            <w:pPr>
              <w:jc w:val="both"/>
              <w:rPr>
                <w:rFonts w:ascii="Titillium" w:eastAsia="Times New Roman" w:hAnsi="Titillium" w:cs="Times New Roman"/>
                <w:sz w:val="16"/>
                <w:szCs w:val="16"/>
              </w:rPr>
            </w:pPr>
            <w:r w:rsidRPr="0060285C">
              <w:rPr>
                <w:rFonts w:ascii="Titillium" w:eastAsia="Times New Roman" w:hAnsi="Titillium" w:cs="Times New Roman"/>
                <w:sz w:val="16"/>
                <w:szCs w:val="16"/>
              </w:rPr>
              <w:t>- Deweloper zastrzega sobie prawo do ustanowienia na lokal</w:t>
            </w:r>
            <w:r w:rsidR="001445EF">
              <w:rPr>
                <w:rFonts w:ascii="Titillium" w:eastAsia="Times New Roman" w:hAnsi="Titillium" w:cs="Times New Roman"/>
                <w:sz w:val="16"/>
                <w:szCs w:val="16"/>
              </w:rPr>
              <w:t>u</w:t>
            </w:r>
            <w:r w:rsidRPr="0060285C">
              <w:rPr>
                <w:rFonts w:ascii="Titillium" w:eastAsia="Times New Roman" w:hAnsi="Titillium" w:cs="Times New Roman"/>
                <w:sz w:val="16"/>
                <w:szCs w:val="16"/>
              </w:rPr>
              <w:t xml:space="preserve"> niemieszkalny</w:t>
            </w:r>
            <w:r w:rsidR="001445EF">
              <w:rPr>
                <w:rFonts w:ascii="Titillium" w:eastAsia="Times New Roman" w:hAnsi="Titillium" w:cs="Times New Roman"/>
                <w:sz w:val="16"/>
                <w:szCs w:val="16"/>
              </w:rPr>
              <w:t>m</w:t>
            </w:r>
            <w:r w:rsidRPr="0060285C">
              <w:rPr>
                <w:rFonts w:ascii="Titillium" w:eastAsia="Times New Roman" w:hAnsi="Titillium" w:cs="Times New Roman"/>
                <w:sz w:val="16"/>
                <w:szCs w:val="16"/>
              </w:rPr>
              <w:t xml:space="preserve"> (garaż</w:t>
            </w:r>
            <w:r w:rsidR="001445EF">
              <w:rPr>
                <w:rFonts w:ascii="Titillium" w:eastAsia="Times New Roman" w:hAnsi="Titillium" w:cs="Times New Roman"/>
                <w:sz w:val="16"/>
                <w:szCs w:val="16"/>
              </w:rPr>
              <w:t>u G1</w:t>
            </w:r>
            <w:r w:rsidRPr="0060285C">
              <w:rPr>
                <w:rFonts w:ascii="Titillium" w:eastAsia="Times New Roman" w:hAnsi="Titillium" w:cs="Times New Roman"/>
                <w:sz w:val="16"/>
                <w:szCs w:val="16"/>
              </w:rPr>
              <w:t>), któr</w:t>
            </w:r>
            <w:r w:rsidR="001445EF">
              <w:rPr>
                <w:rFonts w:ascii="Titillium" w:eastAsia="Times New Roman" w:hAnsi="Titillium" w:cs="Times New Roman"/>
                <w:sz w:val="16"/>
                <w:szCs w:val="16"/>
              </w:rPr>
              <w:t>y</w:t>
            </w:r>
            <w:r w:rsidRPr="0060285C">
              <w:rPr>
                <w:rFonts w:ascii="Titillium" w:eastAsia="Times New Roman" w:hAnsi="Titillium" w:cs="Times New Roman"/>
                <w:sz w:val="16"/>
                <w:szCs w:val="16"/>
              </w:rPr>
              <w:t xml:space="preserve"> będ</w:t>
            </w:r>
            <w:r w:rsidR="001445EF">
              <w:rPr>
                <w:rFonts w:ascii="Titillium" w:eastAsia="Times New Roman" w:hAnsi="Titillium" w:cs="Times New Roman"/>
                <w:sz w:val="16"/>
                <w:szCs w:val="16"/>
              </w:rPr>
              <w:t>zie</w:t>
            </w:r>
            <w:r w:rsidRPr="0060285C">
              <w:rPr>
                <w:rFonts w:ascii="Titillium" w:eastAsia="Times New Roman" w:hAnsi="Titillium" w:cs="Times New Roman"/>
                <w:sz w:val="16"/>
                <w:szCs w:val="16"/>
              </w:rPr>
              <w:t xml:space="preserve"> usytuowan</w:t>
            </w:r>
            <w:r w:rsidR="001445EF">
              <w:rPr>
                <w:rFonts w:ascii="Titillium" w:eastAsia="Times New Roman" w:hAnsi="Titillium" w:cs="Times New Roman"/>
                <w:sz w:val="16"/>
                <w:szCs w:val="16"/>
              </w:rPr>
              <w:t>y</w:t>
            </w:r>
            <w:r w:rsidRPr="0060285C">
              <w:rPr>
                <w:rFonts w:ascii="Titillium" w:eastAsia="Times New Roman" w:hAnsi="Titillium" w:cs="Times New Roman"/>
                <w:sz w:val="16"/>
                <w:szCs w:val="16"/>
              </w:rPr>
              <w:t xml:space="preserve"> w przedmiotowym budynku – ograniczonego prawa rzeczowego, a to nieodpłatnej służebności gruntowej, na czas nieoznaczony, na rzecz każdoczesnego właściciela lokali niemieszkalnych (usługowych), polegającej na prawie umieszczenia urządzeń klimatyzacyjnych wraz z niezbędnym osprzętem - w miejscu uzgodnionym z autorem projektu architektonicznego, zgodnie z załącznikiem graficznym;</w:t>
            </w:r>
          </w:p>
          <w:p w14:paraId="21C8AF89" w14:textId="48E450EE" w:rsidR="009F41C8" w:rsidRPr="001526BB" w:rsidRDefault="009F41C8" w:rsidP="007C2E01">
            <w:pPr>
              <w:jc w:val="both"/>
              <w:rPr>
                <w:rFonts w:ascii="Titillium" w:eastAsia="Times New Roman" w:hAnsi="Titillium" w:cs="Times New Roman"/>
                <w:sz w:val="16"/>
                <w:szCs w:val="16"/>
              </w:rPr>
            </w:pPr>
            <w:r w:rsidRPr="001526BB">
              <w:rPr>
                <w:rFonts w:ascii="Titillium" w:eastAsia="Times New Roman" w:hAnsi="Titillium" w:cs="Times New Roman"/>
                <w:sz w:val="16"/>
                <w:szCs w:val="16"/>
              </w:rPr>
              <w:t xml:space="preserve">- Deweloper zastrzega sobie prawo do ustanowienia na przedmiotowej Nieruchomości - ograniczonych praw rzeczowych, a to nieodpłatnych służebności </w:t>
            </w:r>
            <w:proofErr w:type="spellStart"/>
            <w:r w:rsidRPr="001526BB">
              <w:rPr>
                <w:rFonts w:ascii="Titillium" w:eastAsia="Times New Roman" w:hAnsi="Titillium" w:cs="Times New Roman"/>
                <w:sz w:val="16"/>
                <w:szCs w:val="16"/>
              </w:rPr>
              <w:t>przesyłu</w:t>
            </w:r>
            <w:proofErr w:type="spellEnd"/>
            <w:r w:rsidRPr="001526BB">
              <w:rPr>
                <w:rFonts w:ascii="Titillium" w:eastAsia="Times New Roman" w:hAnsi="Titillium" w:cs="Times New Roman"/>
                <w:sz w:val="16"/>
                <w:szCs w:val="16"/>
              </w:rPr>
              <w:t xml:space="preserve">, na czas nieoznaczony, na rzecz przedsiębiorstw zajmujących się budową i eksploatacją sieci i przyłączy, w szczególności: </w:t>
            </w:r>
            <w:r w:rsidR="00B27969">
              <w:rPr>
                <w:rFonts w:ascii="Titillium" w:eastAsia="Times New Roman" w:hAnsi="Titillium" w:cs="Times New Roman"/>
                <w:sz w:val="16"/>
                <w:szCs w:val="16"/>
              </w:rPr>
              <w:t xml:space="preserve">teletechnicznych, </w:t>
            </w:r>
            <w:r w:rsidRPr="001526BB">
              <w:rPr>
                <w:rFonts w:ascii="Titillium" w:eastAsia="Times New Roman" w:hAnsi="Titillium" w:cs="Times New Roman"/>
                <w:sz w:val="16"/>
                <w:szCs w:val="16"/>
              </w:rPr>
              <w:t>elektrycznych, wodociągowych, sanitarnych, ciepłowniczych (wykonanie, konserwacja i naprawa);</w:t>
            </w:r>
          </w:p>
          <w:p w14:paraId="136694A2" w14:textId="77777777" w:rsidR="00D8270D" w:rsidRPr="00154BD6" w:rsidRDefault="00D8270D" w:rsidP="007C2E01">
            <w:pPr>
              <w:jc w:val="both"/>
              <w:rPr>
                <w:rFonts w:ascii="Titillium" w:eastAsia="Times New Roman" w:hAnsi="Titillium" w:cs="Times New Roman"/>
                <w:color w:val="000000" w:themeColor="text1"/>
                <w:sz w:val="16"/>
                <w:szCs w:val="16"/>
              </w:rPr>
            </w:pPr>
            <w:r w:rsidRPr="00154BD6">
              <w:rPr>
                <w:rFonts w:ascii="Titillium" w:eastAsia="Times New Roman" w:hAnsi="Titillium" w:cs="Times New Roman"/>
                <w:color w:val="000000" w:themeColor="text1"/>
                <w:sz w:val="16"/>
                <w:szCs w:val="16"/>
              </w:rPr>
              <w:t>- Deweloper zastrzega sobie prawo do obciążenia Nieruchomości hipotekami na rzecz Banków kredytujących inwestycję, zaś w przypadku ustanowienia hipotek Deweloper zobowiązuje się niezwłocznie dostarczyć Nabywcy promesę zgody wystawionej przez Bank/i, z której wynikało będzie, że jedynym warunkiem zwolnienia spod obciążenia hipotecznego lokalu będzie wpłata całej ceny sprzedaży na rachunek powierniczy wskazany w Umowie deweloperskiej;</w:t>
            </w:r>
          </w:p>
          <w:p w14:paraId="63FB2CB4" w14:textId="4D8F57A4" w:rsidR="00756984" w:rsidRPr="00154BD6" w:rsidRDefault="00756984" w:rsidP="007C2E01">
            <w:pPr>
              <w:jc w:val="both"/>
              <w:rPr>
                <w:rFonts w:ascii="Titillium" w:eastAsia="Times New Roman" w:hAnsi="Titillium" w:cs="Times New Roman"/>
                <w:color w:val="000000" w:themeColor="text1"/>
                <w:sz w:val="16"/>
                <w:szCs w:val="16"/>
              </w:rPr>
            </w:pPr>
            <w:r w:rsidRPr="002B0981">
              <w:rPr>
                <w:rFonts w:ascii="Titillium" w:eastAsia="Times New Roman" w:hAnsi="Titillium" w:cs="Times New Roman"/>
                <w:sz w:val="16"/>
                <w:szCs w:val="16"/>
              </w:rPr>
              <w:t xml:space="preserve">- Deweloper może ustanowić sposób korzystania z nieruchomości wspólnej, w wyniku którego wybrane części </w:t>
            </w:r>
            <w:r w:rsidR="009F41C8" w:rsidRPr="002B0981">
              <w:rPr>
                <w:rFonts w:ascii="Titillium" w:eastAsia="Times New Roman" w:hAnsi="Titillium" w:cs="Times New Roman"/>
                <w:sz w:val="16"/>
                <w:szCs w:val="16"/>
              </w:rPr>
              <w:t>n</w:t>
            </w:r>
            <w:r w:rsidRPr="002B0981">
              <w:rPr>
                <w:rFonts w:ascii="Titillium" w:eastAsia="Times New Roman" w:hAnsi="Titillium" w:cs="Times New Roman"/>
                <w:sz w:val="16"/>
                <w:szCs w:val="16"/>
              </w:rPr>
              <w:t xml:space="preserve">ieruchomości wspólnej oddane zostaną do wyłącznego korzystania właścicieli poszczególnych </w:t>
            </w:r>
            <w:r w:rsidR="009F41C8" w:rsidRPr="002B0981">
              <w:rPr>
                <w:rFonts w:ascii="Titillium" w:eastAsia="Times New Roman" w:hAnsi="Titillium" w:cs="Times New Roman"/>
                <w:sz w:val="16"/>
                <w:szCs w:val="16"/>
              </w:rPr>
              <w:t>l</w:t>
            </w:r>
            <w:r w:rsidRPr="002B0981">
              <w:rPr>
                <w:rFonts w:ascii="Titillium" w:eastAsia="Times New Roman" w:hAnsi="Titillium" w:cs="Times New Roman"/>
                <w:sz w:val="16"/>
                <w:szCs w:val="16"/>
              </w:rPr>
              <w:t xml:space="preserve">okali </w:t>
            </w:r>
            <w:r w:rsidR="00154BD6">
              <w:rPr>
                <w:rFonts w:ascii="Titillium" w:eastAsia="Times New Roman" w:hAnsi="Titillium" w:cs="Times New Roman"/>
                <w:sz w:val="16"/>
                <w:szCs w:val="16"/>
              </w:rPr>
              <w:t xml:space="preserve">mieszkalnych i niemieszkalnych </w:t>
            </w:r>
            <w:r w:rsidRPr="002B0981">
              <w:rPr>
                <w:rFonts w:ascii="Titillium" w:eastAsia="Times New Roman" w:hAnsi="Titillium" w:cs="Times New Roman"/>
                <w:sz w:val="16"/>
                <w:szCs w:val="16"/>
              </w:rPr>
              <w:t xml:space="preserve">oraz z </w:t>
            </w:r>
            <w:r w:rsidR="009F41C8" w:rsidRPr="002B0981">
              <w:rPr>
                <w:rFonts w:ascii="Titillium" w:eastAsia="Times New Roman" w:hAnsi="Titillium" w:cs="Times New Roman"/>
                <w:sz w:val="16"/>
                <w:szCs w:val="16"/>
              </w:rPr>
              <w:t>l</w:t>
            </w:r>
            <w:r w:rsidRPr="002B0981">
              <w:rPr>
                <w:rFonts w:ascii="Titillium" w:eastAsia="Times New Roman" w:hAnsi="Titillium" w:cs="Times New Roman"/>
                <w:sz w:val="16"/>
                <w:szCs w:val="16"/>
              </w:rPr>
              <w:t xml:space="preserve">okalami </w:t>
            </w:r>
            <w:r w:rsidR="00154BD6">
              <w:rPr>
                <w:rFonts w:ascii="Titillium" w:eastAsia="Times New Roman" w:hAnsi="Titillium" w:cs="Times New Roman"/>
                <w:sz w:val="16"/>
                <w:szCs w:val="16"/>
              </w:rPr>
              <w:t xml:space="preserve">mieszkalnymi i niemieszkalnymi </w:t>
            </w:r>
            <w:r w:rsidRPr="002B0981">
              <w:rPr>
                <w:rFonts w:ascii="Titillium" w:eastAsia="Times New Roman" w:hAnsi="Titillium" w:cs="Times New Roman"/>
                <w:sz w:val="16"/>
                <w:szCs w:val="16"/>
              </w:rPr>
              <w:t xml:space="preserve">może być związane prawo do wyłącznego użytku </w:t>
            </w:r>
            <w:r w:rsidRPr="00154BD6">
              <w:rPr>
                <w:rFonts w:ascii="Titillium" w:eastAsia="Times New Roman" w:hAnsi="Titillium" w:cs="Times New Roman"/>
                <w:color w:val="000000" w:themeColor="text1"/>
                <w:sz w:val="16"/>
                <w:szCs w:val="16"/>
              </w:rPr>
              <w:t>części budynku;</w:t>
            </w:r>
          </w:p>
          <w:p w14:paraId="6790B18B" w14:textId="77777777" w:rsidR="00154BD6" w:rsidRDefault="00154BD6" w:rsidP="007C2E01">
            <w:pPr>
              <w:jc w:val="both"/>
              <w:rPr>
                <w:rFonts w:ascii="Titillium" w:eastAsia="Times New Roman" w:hAnsi="Titillium" w:cs="Times New Roman"/>
                <w:color w:val="000000" w:themeColor="text1"/>
                <w:sz w:val="16"/>
                <w:szCs w:val="16"/>
              </w:rPr>
            </w:pPr>
            <w:r w:rsidRPr="00154BD6">
              <w:rPr>
                <w:rFonts w:ascii="Titillium" w:eastAsia="Times New Roman" w:hAnsi="Titillium" w:cs="Times New Roman"/>
                <w:color w:val="000000" w:themeColor="text1"/>
                <w:sz w:val="16"/>
                <w:szCs w:val="16"/>
              </w:rPr>
              <w:t>- Dewelopera informuje Nabywcę, iż zainstalowanie klimatyzatora dla lokalu mieszkalnego możliwe jest jedynie na płycie balkonu/loggii/tarasu przylegającego do tego lokalu, z odprowadzeniem skroplin do lokalu mieszkalnego; klimatyzator powinien być posadowiony na poziomie posadzki balkonu/loggii/tarasu na własnym fundamencie - bez ingerencji w strop, a górna krawędź klimatyzatora nie może przekraczać poziomu balustrady balkonu/loggii/tarasu, urządzenie klimatyzatora będzie się cechowało odpowiednio niskim poziomem emisji hałasu zgodnie z warunkami technicznymi, jakim powinny odpowiadać budynki i ich usytuowanie.</w:t>
            </w:r>
          </w:p>
          <w:p w14:paraId="46FCD5E9" w14:textId="2DD556FC" w:rsidR="00EF64C4" w:rsidRPr="00154BD6" w:rsidRDefault="00EF64C4" w:rsidP="007C2E01">
            <w:pPr>
              <w:jc w:val="both"/>
              <w:rPr>
                <w:rFonts w:ascii="Titillium" w:eastAsia="Times New Roman" w:hAnsi="Titillium" w:cs="Times New Roman"/>
                <w:color w:val="000000" w:themeColor="text1"/>
                <w:sz w:val="16"/>
                <w:szCs w:val="16"/>
              </w:rPr>
            </w:pPr>
            <w:r w:rsidRPr="00B27969">
              <w:rPr>
                <w:rFonts w:ascii="Titillium" w:eastAsia="Times New Roman" w:hAnsi="Titillium" w:cs="Times New Roman"/>
                <w:color w:val="000000" w:themeColor="text1"/>
                <w:sz w:val="16"/>
                <w:szCs w:val="16"/>
              </w:rPr>
              <w:t>- Deweloper zastrzega sobie prawo do ustanowienia na przedmiotowej Nieruchomości – ograniczonych praw rzeczowych, a to nieodpłatnych służebności gruntowych na czas nieoznaczony na rzecz każdoczesnego właściciela lokali niemieszkalnych (usługowych), polegających na prawi</w:t>
            </w:r>
            <w:r w:rsidR="00863055" w:rsidRPr="00B27969">
              <w:rPr>
                <w:rFonts w:ascii="Titillium" w:eastAsia="Times New Roman" w:hAnsi="Titillium" w:cs="Times New Roman"/>
                <w:color w:val="000000" w:themeColor="text1"/>
                <w:sz w:val="16"/>
                <w:szCs w:val="16"/>
              </w:rPr>
              <w:t xml:space="preserve">e do umieszczenia na dachu budynku instalacji antenowej wraz z niezbędnymi urządzeniami, służącej do transmisji danych drogą radiową, z prawem podłączenia do </w:t>
            </w:r>
            <w:r w:rsidR="00E54151" w:rsidRPr="00B27969">
              <w:rPr>
                <w:rFonts w:ascii="Titillium" w:eastAsia="Times New Roman" w:hAnsi="Titillium" w:cs="Times New Roman"/>
                <w:color w:val="000000" w:themeColor="text1"/>
                <w:sz w:val="16"/>
                <w:szCs w:val="16"/>
              </w:rPr>
              <w:t>instalacji</w:t>
            </w:r>
            <w:r w:rsidR="00863055" w:rsidRPr="00B27969">
              <w:rPr>
                <w:rFonts w:ascii="Titillium" w:eastAsia="Times New Roman" w:hAnsi="Titillium" w:cs="Times New Roman"/>
                <w:color w:val="000000" w:themeColor="text1"/>
                <w:sz w:val="16"/>
                <w:szCs w:val="16"/>
              </w:rPr>
              <w:t xml:space="preserve"> elektrycznej budynku i zamontowania licznika/podlicznika – z wyłączeniem anten obsługujących telefonię komórkową;</w:t>
            </w:r>
          </w:p>
        </w:tc>
      </w:tr>
    </w:tbl>
    <w:p w14:paraId="089A3499" w14:textId="77777777" w:rsidR="00791B9B" w:rsidRPr="00715DB9" w:rsidRDefault="006F1D50" w:rsidP="00791B9B">
      <w:pPr>
        <w:spacing w:before="94"/>
        <w:ind w:left="27"/>
        <w:rPr>
          <w:rFonts w:ascii="Titillium" w:hAnsi="Titillium"/>
          <w:sz w:val="18"/>
        </w:rPr>
      </w:pPr>
      <w:r w:rsidRPr="00715DB9">
        <w:rPr>
          <w:rFonts w:ascii="Titillium" w:eastAsia="Times New Roman" w:hAnsi="Titillium" w:cs="Times New Roman"/>
          <w:b/>
          <w:sz w:val="16"/>
          <w:szCs w:val="16"/>
        </w:rPr>
        <w:lastRenderedPageBreak/>
        <w:t xml:space="preserve">   </w:t>
      </w:r>
      <w:r w:rsidR="00791B9B" w:rsidRPr="00715DB9">
        <w:rPr>
          <w:rFonts w:ascii="Titillium" w:eastAsia="Times New Roman" w:hAnsi="Titillium" w:cs="Times New Roman"/>
          <w:bCs/>
          <w:sz w:val="8"/>
          <w:szCs w:val="8"/>
          <w:vertAlign w:val="superscript"/>
        </w:rPr>
        <w:t xml:space="preserve">44) </w:t>
      </w:r>
      <w:r w:rsidR="00791B9B" w:rsidRPr="00715DB9">
        <w:rPr>
          <w:rFonts w:ascii="Titillium" w:hAnsi="Titillium"/>
          <w:sz w:val="8"/>
          <w:szCs w:val="8"/>
        </w:rPr>
        <w:t>Sekcja</w:t>
      </w:r>
      <w:r w:rsidR="00791B9B" w:rsidRPr="00715DB9">
        <w:rPr>
          <w:rFonts w:ascii="Titillium" w:hAnsi="Titillium"/>
          <w:spacing w:val="-1"/>
          <w:sz w:val="8"/>
          <w:szCs w:val="8"/>
        </w:rPr>
        <w:t xml:space="preserve"> </w:t>
      </w:r>
      <w:r w:rsidR="00791B9B" w:rsidRPr="00715DB9">
        <w:rPr>
          <w:rFonts w:ascii="Titillium" w:hAnsi="Titillium"/>
          <w:sz w:val="8"/>
          <w:szCs w:val="8"/>
        </w:rPr>
        <w:t>w</w:t>
      </w:r>
      <w:r w:rsidR="00791B9B" w:rsidRPr="00715DB9">
        <w:rPr>
          <w:rFonts w:ascii="Titillium" w:hAnsi="Titillium"/>
          <w:spacing w:val="-2"/>
          <w:sz w:val="8"/>
          <w:szCs w:val="8"/>
        </w:rPr>
        <w:t xml:space="preserve"> </w:t>
      </w:r>
      <w:r w:rsidR="00791B9B" w:rsidRPr="00715DB9">
        <w:rPr>
          <w:rFonts w:ascii="Titillium" w:hAnsi="Titillium"/>
          <w:sz w:val="8"/>
          <w:szCs w:val="8"/>
        </w:rPr>
        <w:t>brzmieniu</w:t>
      </w:r>
      <w:r w:rsidR="00791B9B" w:rsidRPr="00715DB9">
        <w:rPr>
          <w:rFonts w:ascii="Titillium" w:hAnsi="Titillium"/>
          <w:spacing w:val="-1"/>
          <w:sz w:val="8"/>
          <w:szCs w:val="8"/>
        </w:rPr>
        <w:t xml:space="preserve"> </w:t>
      </w:r>
      <w:r w:rsidR="00791B9B" w:rsidRPr="00715DB9">
        <w:rPr>
          <w:rFonts w:ascii="Titillium" w:hAnsi="Titillium"/>
          <w:sz w:val="8"/>
          <w:szCs w:val="8"/>
        </w:rPr>
        <w:t>ustalonym</w:t>
      </w:r>
      <w:r w:rsidR="00791B9B" w:rsidRPr="00715DB9">
        <w:rPr>
          <w:rFonts w:ascii="Titillium" w:hAnsi="Titillium"/>
          <w:spacing w:val="-2"/>
          <w:sz w:val="8"/>
          <w:szCs w:val="8"/>
        </w:rPr>
        <w:t xml:space="preserve"> </w:t>
      </w:r>
      <w:r w:rsidR="00791B9B" w:rsidRPr="00715DB9">
        <w:rPr>
          <w:rFonts w:ascii="Titillium" w:hAnsi="Titillium"/>
          <w:sz w:val="8"/>
          <w:szCs w:val="8"/>
        </w:rPr>
        <w:t>przez</w:t>
      </w:r>
      <w:r w:rsidR="00791B9B" w:rsidRPr="00715DB9">
        <w:rPr>
          <w:rFonts w:ascii="Titillium" w:hAnsi="Titillium"/>
          <w:spacing w:val="-1"/>
          <w:sz w:val="8"/>
          <w:szCs w:val="8"/>
        </w:rPr>
        <w:t xml:space="preserve"> </w:t>
      </w:r>
      <w:r w:rsidR="00791B9B" w:rsidRPr="00715DB9">
        <w:rPr>
          <w:rFonts w:ascii="Titillium" w:hAnsi="Titillium"/>
          <w:sz w:val="8"/>
          <w:szCs w:val="8"/>
        </w:rPr>
        <w:t>art.</w:t>
      </w:r>
      <w:r w:rsidR="00791B9B" w:rsidRPr="00715DB9">
        <w:rPr>
          <w:rFonts w:ascii="Titillium" w:hAnsi="Titillium"/>
          <w:spacing w:val="-1"/>
          <w:sz w:val="8"/>
          <w:szCs w:val="8"/>
        </w:rPr>
        <w:t xml:space="preserve"> </w:t>
      </w:r>
      <w:r w:rsidR="00791B9B" w:rsidRPr="00715DB9">
        <w:rPr>
          <w:rFonts w:ascii="Titillium" w:hAnsi="Titillium"/>
          <w:sz w:val="8"/>
          <w:szCs w:val="8"/>
        </w:rPr>
        <w:t>43</w:t>
      </w:r>
      <w:r w:rsidR="00791B9B" w:rsidRPr="00715DB9">
        <w:rPr>
          <w:rFonts w:ascii="Titillium" w:hAnsi="Titillium"/>
          <w:spacing w:val="-1"/>
          <w:sz w:val="8"/>
          <w:szCs w:val="8"/>
        </w:rPr>
        <w:t xml:space="preserve"> </w:t>
      </w:r>
      <w:r w:rsidR="00791B9B" w:rsidRPr="00715DB9">
        <w:rPr>
          <w:rFonts w:ascii="Titillium" w:hAnsi="Titillium"/>
          <w:sz w:val="8"/>
          <w:szCs w:val="8"/>
        </w:rPr>
        <w:t>pkt</w:t>
      </w:r>
      <w:r w:rsidR="00791B9B" w:rsidRPr="00715DB9">
        <w:rPr>
          <w:rFonts w:ascii="Titillium" w:hAnsi="Titillium"/>
          <w:spacing w:val="-2"/>
          <w:sz w:val="8"/>
          <w:szCs w:val="8"/>
        </w:rPr>
        <w:t xml:space="preserve"> </w:t>
      </w:r>
      <w:r w:rsidR="00791B9B" w:rsidRPr="00715DB9">
        <w:rPr>
          <w:rFonts w:ascii="Titillium" w:hAnsi="Titillium"/>
          <w:sz w:val="8"/>
          <w:szCs w:val="8"/>
        </w:rPr>
        <w:t>14</w:t>
      </w:r>
      <w:r w:rsidR="00791B9B" w:rsidRPr="00715DB9">
        <w:rPr>
          <w:rFonts w:ascii="Titillium" w:hAnsi="Titillium"/>
          <w:spacing w:val="-1"/>
          <w:sz w:val="8"/>
          <w:szCs w:val="8"/>
        </w:rPr>
        <w:t xml:space="preserve"> </w:t>
      </w:r>
      <w:r w:rsidR="00791B9B" w:rsidRPr="00715DB9">
        <w:rPr>
          <w:rFonts w:ascii="Titillium" w:hAnsi="Titillium"/>
          <w:sz w:val="8"/>
          <w:szCs w:val="8"/>
        </w:rPr>
        <w:t>ustawy,</w:t>
      </w:r>
      <w:r w:rsidR="00791B9B" w:rsidRPr="00715DB9">
        <w:rPr>
          <w:rFonts w:ascii="Titillium" w:hAnsi="Titillium"/>
          <w:spacing w:val="-1"/>
          <w:sz w:val="8"/>
          <w:szCs w:val="8"/>
        </w:rPr>
        <w:t xml:space="preserve"> </w:t>
      </w:r>
      <w:r w:rsidR="00791B9B" w:rsidRPr="00715DB9">
        <w:rPr>
          <w:rFonts w:ascii="Titillium" w:hAnsi="Titillium"/>
          <w:sz w:val="8"/>
          <w:szCs w:val="8"/>
        </w:rPr>
        <w:t>o</w:t>
      </w:r>
      <w:r w:rsidR="00791B9B" w:rsidRPr="00715DB9">
        <w:rPr>
          <w:rFonts w:ascii="Titillium" w:hAnsi="Titillium"/>
          <w:spacing w:val="-1"/>
          <w:sz w:val="8"/>
          <w:szCs w:val="8"/>
        </w:rPr>
        <w:t xml:space="preserve"> </w:t>
      </w:r>
      <w:r w:rsidR="00791B9B" w:rsidRPr="00715DB9">
        <w:rPr>
          <w:rFonts w:ascii="Titillium" w:hAnsi="Titillium"/>
          <w:sz w:val="8"/>
          <w:szCs w:val="8"/>
        </w:rPr>
        <w:t>której mowa</w:t>
      </w:r>
      <w:r w:rsidR="00791B9B" w:rsidRPr="00715DB9">
        <w:rPr>
          <w:rFonts w:ascii="Titillium" w:hAnsi="Titillium"/>
          <w:spacing w:val="-1"/>
          <w:sz w:val="8"/>
          <w:szCs w:val="8"/>
        </w:rPr>
        <w:t xml:space="preserve"> </w:t>
      </w:r>
      <w:r w:rsidR="00791B9B" w:rsidRPr="00715DB9">
        <w:rPr>
          <w:rFonts w:ascii="Titillium" w:hAnsi="Titillium"/>
          <w:sz w:val="8"/>
          <w:szCs w:val="8"/>
        </w:rPr>
        <w:t>w</w:t>
      </w:r>
      <w:r w:rsidR="00791B9B" w:rsidRPr="00715DB9">
        <w:rPr>
          <w:rFonts w:ascii="Titillium" w:hAnsi="Titillium"/>
          <w:spacing w:val="-2"/>
          <w:sz w:val="8"/>
          <w:szCs w:val="8"/>
        </w:rPr>
        <w:t xml:space="preserve"> </w:t>
      </w:r>
      <w:r w:rsidR="00791B9B" w:rsidRPr="00715DB9">
        <w:rPr>
          <w:rFonts w:ascii="Titillium" w:hAnsi="Titillium"/>
          <w:sz w:val="8"/>
          <w:szCs w:val="8"/>
        </w:rPr>
        <w:t>odnośniku</w:t>
      </w:r>
      <w:r w:rsidR="00791B9B" w:rsidRPr="00715DB9">
        <w:rPr>
          <w:rFonts w:ascii="Titillium" w:hAnsi="Titillium"/>
          <w:spacing w:val="5"/>
          <w:sz w:val="8"/>
          <w:szCs w:val="8"/>
        </w:rPr>
        <w:t xml:space="preserve"> </w:t>
      </w:r>
      <w:r w:rsidR="00791B9B" w:rsidRPr="00715DB9">
        <w:rPr>
          <w:rFonts w:ascii="Titillium" w:hAnsi="Titillium"/>
          <w:spacing w:val="-5"/>
          <w:sz w:val="8"/>
          <w:szCs w:val="8"/>
        </w:rPr>
        <w:t>2.</w:t>
      </w:r>
    </w:p>
    <w:p w14:paraId="31A13869" w14:textId="1EE09791" w:rsidR="006F1D50" w:rsidRPr="00791B9B" w:rsidRDefault="006F1D50" w:rsidP="00E17391">
      <w:pPr>
        <w:spacing w:after="0" w:line="265" w:lineRule="auto"/>
        <w:ind w:left="-5" w:hanging="10"/>
        <w:rPr>
          <w:rFonts w:ascii="Titillium" w:eastAsia="Times New Roman" w:hAnsi="Titillium" w:cs="Times New Roman"/>
          <w:b/>
          <w:sz w:val="16"/>
          <w:szCs w:val="16"/>
        </w:rPr>
      </w:pPr>
    </w:p>
    <w:p w14:paraId="29EA63CC" w14:textId="4F0AB843" w:rsidR="00095A92" w:rsidRPr="00D31C8C" w:rsidRDefault="00B831F4" w:rsidP="00B831F4">
      <w:pPr>
        <w:spacing w:after="0" w:line="265" w:lineRule="auto"/>
        <w:rPr>
          <w:rFonts w:ascii="Titillium" w:hAnsi="Titillium"/>
          <w:sz w:val="16"/>
          <w:szCs w:val="16"/>
        </w:rPr>
      </w:pPr>
      <w:r>
        <w:rPr>
          <w:rFonts w:ascii="Titillium" w:eastAsia="Times New Roman" w:hAnsi="Titillium" w:cs="Times New Roman"/>
          <w:b/>
          <w:sz w:val="16"/>
          <w:szCs w:val="16"/>
        </w:rPr>
        <w:t xml:space="preserve">   </w:t>
      </w:r>
      <w:r w:rsidR="006F1D50">
        <w:rPr>
          <w:rFonts w:ascii="Titillium" w:eastAsia="Times New Roman" w:hAnsi="Titillium" w:cs="Times New Roman"/>
          <w:b/>
          <w:sz w:val="16"/>
          <w:szCs w:val="16"/>
        </w:rPr>
        <w:t xml:space="preserve"> </w:t>
      </w:r>
      <w:r w:rsidR="00095A92" w:rsidRPr="00D31C8C">
        <w:rPr>
          <w:rFonts w:ascii="Titillium" w:eastAsia="Times New Roman" w:hAnsi="Titillium" w:cs="Times New Roman"/>
          <w:b/>
          <w:sz w:val="16"/>
          <w:szCs w:val="16"/>
        </w:rPr>
        <w:t>CZĘŚĆ INDYWIDUALNA</w:t>
      </w:r>
    </w:p>
    <w:tbl>
      <w:tblPr>
        <w:tblStyle w:val="TableGrid"/>
        <w:tblW w:w="9639" w:type="dxa"/>
        <w:tblInd w:w="137" w:type="dxa"/>
        <w:tblCellMar>
          <w:top w:w="188" w:type="dxa"/>
          <w:left w:w="106" w:type="dxa"/>
          <w:right w:w="72" w:type="dxa"/>
        </w:tblCellMar>
        <w:tblLook w:val="04A0" w:firstRow="1" w:lastRow="0" w:firstColumn="1" w:lastColumn="0" w:noHBand="0" w:noVBand="1"/>
      </w:tblPr>
      <w:tblGrid>
        <w:gridCol w:w="2929"/>
        <w:gridCol w:w="3071"/>
        <w:gridCol w:w="3639"/>
      </w:tblGrid>
      <w:tr w:rsidR="00095A92" w:rsidRPr="00D31C8C" w14:paraId="4BCB16B3" w14:textId="77777777" w:rsidTr="00715AFA">
        <w:trPr>
          <w:trHeight w:val="409"/>
        </w:trPr>
        <w:tc>
          <w:tcPr>
            <w:tcW w:w="29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03644D" w14:textId="77777777" w:rsidR="00095A92" w:rsidRPr="00D31C8C" w:rsidRDefault="00095A92">
            <w:pPr>
              <w:jc w:val="both"/>
              <w:rPr>
                <w:rFonts w:ascii="Titillium" w:hAnsi="Titillium"/>
                <w:sz w:val="16"/>
                <w:szCs w:val="16"/>
              </w:rPr>
            </w:pPr>
            <w:r w:rsidRPr="00D31C8C">
              <w:rPr>
                <w:rFonts w:ascii="Titillium" w:eastAsia="Times New Roman" w:hAnsi="Titillium" w:cs="Times New Roman"/>
                <w:sz w:val="16"/>
                <w:szCs w:val="16"/>
              </w:rPr>
              <w:t xml:space="preserve">Cena lokalu mieszkalnego albo domu jednorodzinnego </w:t>
            </w:r>
          </w:p>
        </w:tc>
        <w:tc>
          <w:tcPr>
            <w:tcW w:w="6710" w:type="dxa"/>
            <w:gridSpan w:val="2"/>
            <w:tcBorders>
              <w:top w:val="single" w:sz="4" w:space="0" w:color="000000"/>
              <w:left w:val="single" w:sz="4" w:space="0" w:color="000000"/>
              <w:bottom w:val="single" w:sz="4" w:space="0" w:color="000000"/>
              <w:right w:val="single" w:sz="4" w:space="0" w:color="000000"/>
            </w:tcBorders>
          </w:tcPr>
          <w:p w14:paraId="3D2B939F" w14:textId="77777777" w:rsidR="00095A92" w:rsidRPr="00D31C8C" w:rsidRDefault="00095A92">
            <w:pPr>
              <w:ind w:left="4"/>
              <w:rPr>
                <w:rFonts w:ascii="Titillium" w:hAnsi="Titillium"/>
                <w:sz w:val="16"/>
                <w:szCs w:val="16"/>
              </w:rPr>
            </w:pPr>
            <w:r w:rsidRPr="00D31C8C">
              <w:rPr>
                <w:rFonts w:ascii="Titillium" w:eastAsia="Calibri" w:hAnsi="Titillium" w:cs="Calibri"/>
                <w:b/>
                <w:sz w:val="16"/>
                <w:szCs w:val="16"/>
              </w:rPr>
              <w:t xml:space="preserve"> </w:t>
            </w:r>
          </w:p>
        </w:tc>
      </w:tr>
      <w:tr w:rsidR="00095A92" w:rsidRPr="00D31C8C" w14:paraId="0883B84A" w14:textId="77777777" w:rsidTr="00715AFA">
        <w:trPr>
          <w:trHeight w:val="630"/>
        </w:trPr>
        <w:tc>
          <w:tcPr>
            <w:tcW w:w="29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32A5FF" w14:textId="77777777" w:rsidR="00095A92" w:rsidRPr="00D31C8C" w:rsidRDefault="00095A92">
            <w:pPr>
              <w:rPr>
                <w:rFonts w:ascii="Titillium" w:hAnsi="Titillium"/>
                <w:sz w:val="16"/>
                <w:szCs w:val="16"/>
              </w:rPr>
            </w:pPr>
            <w:r w:rsidRPr="00D31C8C">
              <w:rPr>
                <w:rFonts w:ascii="Titillium" w:eastAsia="Times New Roman" w:hAnsi="Titillium" w:cs="Times New Roman"/>
                <w:sz w:val="16"/>
                <w:szCs w:val="16"/>
              </w:rPr>
              <w:t xml:space="preserve">Powierzchnia użytkowa lokalu mieszkalnego albo domu jednorodzinnego </w:t>
            </w:r>
          </w:p>
        </w:tc>
        <w:tc>
          <w:tcPr>
            <w:tcW w:w="6710" w:type="dxa"/>
            <w:gridSpan w:val="2"/>
            <w:tcBorders>
              <w:top w:val="single" w:sz="4" w:space="0" w:color="000000"/>
              <w:left w:val="single" w:sz="4" w:space="0" w:color="000000"/>
              <w:bottom w:val="single" w:sz="4" w:space="0" w:color="000000"/>
              <w:right w:val="single" w:sz="4" w:space="0" w:color="000000"/>
            </w:tcBorders>
          </w:tcPr>
          <w:p w14:paraId="371700BA" w14:textId="77777777" w:rsidR="00095A92" w:rsidRPr="00D31C8C" w:rsidRDefault="00095A92">
            <w:pPr>
              <w:ind w:left="4"/>
              <w:rPr>
                <w:rFonts w:ascii="Titillium" w:hAnsi="Titillium"/>
                <w:sz w:val="16"/>
                <w:szCs w:val="16"/>
              </w:rPr>
            </w:pPr>
            <w:r w:rsidRPr="00D31C8C">
              <w:rPr>
                <w:rFonts w:ascii="Titillium" w:eastAsia="Calibri" w:hAnsi="Titillium" w:cs="Calibri"/>
                <w:b/>
                <w:sz w:val="16"/>
                <w:szCs w:val="16"/>
              </w:rPr>
              <w:t xml:space="preserve"> </w:t>
            </w:r>
          </w:p>
        </w:tc>
      </w:tr>
      <w:tr w:rsidR="00095A92" w:rsidRPr="00D31C8C" w14:paraId="75AC2F9B" w14:textId="77777777" w:rsidTr="00715AFA">
        <w:trPr>
          <w:trHeight w:val="613"/>
        </w:trPr>
        <w:tc>
          <w:tcPr>
            <w:tcW w:w="29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41A4C2" w14:textId="77777777" w:rsidR="00095A92" w:rsidRPr="00D31C8C" w:rsidRDefault="00095A92">
            <w:pPr>
              <w:rPr>
                <w:rFonts w:ascii="Titillium" w:hAnsi="Titillium"/>
                <w:sz w:val="16"/>
                <w:szCs w:val="16"/>
              </w:rPr>
            </w:pPr>
            <w:r w:rsidRPr="00D31C8C">
              <w:rPr>
                <w:rFonts w:ascii="Titillium" w:eastAsia="Times New Roman" w:hAnsi="Titillium" w:cs="Times New Roman"/>
                <w:sz w:val="16"/>
                <w:szCs w:val="16"/>
              </w:rPr>
              <w:t>Cena m</w:t>
            </w:r>
            <w:r w:rsidRPr="00D31C8C">
              <w:rPr>
                <w:rFonts w:ascii="Titillium" w:eastAsia="Times New Roman" w:hAnsi="Titillium" w:cs="Times New Roman"/>
                <w:sz w:val="16"/>
                <w:szCs w:val="16"/>
                <w:vertAlign w:val="superscript"/>
              </w:rPr>
              <w:t>2</w:t>
            </w:r>
            <w:r w:rsidRPr="00D31C8C">
              <w:rPr>
                <w:rFonts w:ascii="Titillium" w:eastAsia="Times New Roman" w:hAnsi="Titillium" w:cs="Times New Roman"/>
                <w:sz w:val="16"/>
                <w:szCs w:val="16"/>
              </w:rPr>
              <w:t xml:space="preserve"> powierzchni użytkowej lokalu mieszkalnego albo domu jednorodzinnego </w:t>
            </w:r>
          </w:p>
        </w:tc>
        <w:tc>
          <w:tcPr>
            <w:tcW w:w="6710" w:type="dxa"/>
            <w:gridSpan w:val="2"/>
            <w:tcBorders>
              <w:top w:val="single" w:sz="4" w:space="0" w:color="000000"/>
              <w:left w:val="single" w:sz="4" w:space="0" w:color="000000"/>
              <w:bottom w:val="single" w:sz="4" w:space="0" w:color="000000"/>
              <w:right w:val="single" w:sz="4" w:space="0" w:color="000000"/>
            </w:tcBorders>
          </w:tcPr>
          <w:p w14:paraId="315A70F5" w14:textId="77777777" w:rsidR="00095A92" w:rsidRPr="00D31C8C" w:rsidRDefault="00095A92">
            <w:pPr>
              <w:ind w:left="4"/>
              <w:rPr>
                <w:rFonts w:ascii="Titillium" w:hAnsi="Titillium"/>
                <w:sz w:val="16"/>
                <w:szCs w:val="16"/>
              </w:rPr>
            </w:pPr>
            <w:r w:rsidRPr="00D31C8C">
              <w:rPr>
                <w:rFonts w:ascii="Titillium" w:eastAsia="Calibri" w:hAnsi="Titillium" w:cs="Calibri"/>
                <w:b/>
                <w:sz w:val="16"/>
                <w:szCs w:val="16"/>
              </w:rPr>
              <w:t xml:space="preserve"> </w:t>
            </w:r>
          </w:p>
        </w:tc>
      </w:tr>
      <w:tr w:rsidR="00095A92" w:rsidRPr="00D31C8C" w14:paraId="36750D99" w14:textId="77777777" w:rsidTr="00715AFA">
        <w:trPr>
          <w:trHeight w:val="2029"/>
        </w:trPr>
        <w:tc>
          <w:tcPr>
            <w:tcW w:w="29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AB4DE2" w14:textId="77777777" w:rsidR="00095A92" w:rsidRPr="00D31C8C" w:rsidRDefault="00095A92">
            <w:pPr>
              <w:ind w:right="50"/>
              <w:rPr>
                <w:rFonts w:ascii="Titillium" w:hAnsi="Titillium"/>
                <w:sz w:val="16"/>
                <w:szCs w:val="16"/>
              </w:rPr>
            </w:pPr>
            <w:r w:rsidRPr="00D31C8C">
              <w:rPr>
                <w:rFonts w:ascii="Titillium" w:eastAsia="Times New Roman" w:hAnsi="Titillium" w:cs="Times New Roman"/>
                <w:sz w:val="16"/>
                <w:szCs w:val="16"/>
              </w:rPr>
              <w:t xml:space="preserve">Termin, do którego nastąpi przeniesienie prawa własności nieruchomości wynikającego z umowy deweloperskiej lub jednej z umów, o których mowa w art. 2 ust. 1 pkt 2, </w:t>
            </w:r>
          </w:p>
          <w:p w14:paraId="6BD7CB9D" w14:textId="77777777" w:rsidR="00095A92" w:rsidRPr="00D31C8C" w:rsidRDefault="00095A92">
            <w:pPr>
              <w:spacing w:after="1" w:line="239" w:lineRule="auto"/>
              <w:ind w:right="375"/>
              <w:rPr>
                <w:rFonts w:ascii="Titillium" w:hAnsi="Titillium"/>
                <w:sz w:val="16"/>
                <w:szCs w:val="16"/>
              </w:rPr>
            </w:pPr>
            <w:r w:rsidRPr="00D31C8C">
              <w:rPr>
                <w:rFonts w:ascii="Titillium" w:eastAsia="Times New Roman" w:hAnsi="Titillium" w:cs="Times New Roman"/>
                <w:sz w:val="16"/>
                <w:szCs w:val="16"/>
              </w:rPr>
              <w:t xml:space="preserve">3 lub 5 lub ust. 2 ustawy z dnia 20 maja 2021 r. o ochronie praw nabywcy lokalu mieszkalnego lub domu jednorodzinnego oraz </w:t>
            </w:r>
          </w:p>
          <w:p w14:paraId="50AB312F" w14:textId="77777777" w:rsidR="00095A92" w:rsidRPr="00D31C8C" w:rsidRDefault="00095A92">
            <w:pPr>
              <w:rPr>
                <w:rFonts w:ascii="Titillium" w:hAnsi="Titillium"/>
                <w:sz w:val="16"/>
                <w:szCs w:val="16"/>
              </w:rPr>
            </w:pPr>
            <w:r w:rsidRPr="00D31C8C">
              <w:rPr>
                <w:rFonts w:ascii="Titillium" w:eastAsia="Times New Roman" w:hAnsi="Titillium" w:cs="Times New Roman"/>
                <w:sz w:val="16"/>
                <w:szCs w:val="16"/>
              </w:rPr>
              <w:t xml:space="preserve">Deweloperskim Funduszu </w:t>
            </w:r>
          </w:p>
          <w:p w14:paraId="528AA852" w14:textId="77777777" w:rsidR="00095A92" w:rsidRPr="00D31C8C" w:rsidRDefault="00095A92">
            <w:pPr>
              <w:rPr>
                <w:rFonts w:ascii="Titillium" w:hAnsi="Titillium"/>
                <w:sz w:val="16"/>
                <w:szCs w:val="16"/>
              </w:rPr>
            </w:pPr>
            <w:r w:rsidRPr="00D31C8C">
              <w:rPr>
                <w:rFonts w:ascii="Titillium" w:eastAsia="Times New Roman" w:hAnsi="Titillium" w:cs="Times New Roman"/>
                <w:sz w:val="16"/>
                <w:szCs w:val="16"/>
              </w:rPr>
              <w:t xml:space="preserve">Gwarancyjnym  </w:t>
            </w:r>
          </w:p>
        </w:tc>
        <w:tc>
          <w:tcPr>
            <w:tcW w:w="6710" w:type="dxa"/>
            <w:gridSpan w:val="2"/>
            <w:tcBorders>
              <w:top w:val="single" w:sz="4" w:space="0" w:color="000000"/>
              <w:left w:val="single" w:sz="4" w:space="0" w:color="000000"/>
              <w:bottom w:val="single" w:sz="4" w:space="0" w:color="000000"/>
              <w:right w:val="single" w:sz="4" w:space="0" w:color="000000"/>
            </w:tcBorders>
          </w:tcPr>
          <w:p w14:paraId="2C68403C" w14:textId="69891E77" w:rsidR="00095A92" w:rsidRPr="009174EF" w:rsidRDefault="00095A92">
            <w:pPr>
              <w:ind w:left="4"/>
              <w:rPr>
                <w:rFonts w:ascii="Titillium" w:hAnsi="Titillium"/>
                <w:bCs/>
                <w:sz w:val="16"/>
                <w:szCs w:val="16"/>
              </w:rPr>
            </w:pPr>
            <w:r w:rsidRPr="004E605F">
              <w:rPr>
                <w:rFonts w:ascii="Titillium" w:eastAsia="Calibri" w:hAnsi="Titillium" w:cs="Calibri"/>
                <w:bCs/>
                <w:color w:val="FF0000"/>
                <w:sz w:val="16"/>
                <w:szCs w:val="16"/>
              </w:rPr>
              <w:t xml:space="preserve"> </w:t>
            </w:r>
            <w:r w:rsidR="00EF64C4" w:rsidRPr="00EF64C4">
              <w:rPr>
                <w:rFonts w:ascii="Titillium" w:eastAsia="Calibri" w:hAnsi="Titillium" w:cs="Calibri"/>
                <w:bCs/>
                <w:color w:val="000000" w:themeColor="text1"/>
                <w:sz w:val="16"/>
                <w:szCs w:val="16"/>
              </w:rPr>
              <w:t>31.05.2027r.</w:t>
            </w:r>
          </w:p>
        </w:tc>
      </w:tr>
      <w:tr w:rsidR="00756984" w:rsidRPr="00756984" w14:paraId="5F493277" w14:textId="77777777" w:rsidTr="009E62FD">
        <w:trPr>
          <w:trHeight w:val="279"/>
        </w:trPr>
        <w:tc>
          <w:tcPr>
            <w:tcW w:w="2929" w:type="dxa"/>
            <w:vMerge w:val="restart"/>
            <w:tcBorders>
              <w:top w:val="single" w:sz="4" w:space="0" w:color="000000"/>
              <w:left w:val="single" w:sz="4" w:space="0" w:color="000000"/>
              <w:bottom w:val="single" w:sz="4" w:space="0" w:color="F2F2F2"/>
              <w:right w:val="single" w:sz="4" w:space="0" w:color="000000"/>
            </w:tcBorders>
            <w:shd w:val="clear" w:color="auto" w:fill="F2F2F2"/>
            <w:vAlign w:val="center"/>
          </w:tcPr>
          <w:p w14:paraId="43976B37" w14:textId="77777777" w:rsidR="00095A92" w:rsidRPr="00D31C8C" w:rsidRDefault="00095A92">
            <w:pPr>
              <w:spacing w:line="239" w:lineRule="auto"/>
              <w:ind w:right="105"/>
              <w:rPr>
                <w:rFonts w:ascii="Titillium" w:hAnsi="Titillium"/>
                <w:sz w:val="16"/>
                <w:szCs w:val="16"/>
              </w:rPr>
            </w:pPr>
            <w:r w:rsidRPr="00D31C8C">
              <w:rPr>
                <w:rFonts w:ascii="Titillium" w:eastAsia="Times New Roman" w:hAnsi="Titillium" w:cs="Times New Roman"/>
                <w:sz w:val="16"/>
                <w:szCs w:val="16"/>
              </w:rPr>
              <w:t xml:space="preserve">Określenie położenia oraz istotnych cech domu jednorodzinnego albo budynku, w którym ma znajdować się lokal mieszkalny będący przedmiotem umowy rezerwacyjnej albo umowy deweloperskiej lub jednej z umów, o których mowa w art. 2 ust. 1 pkt 2, 3 lub 5 lub ust. 2 ustawy z dnia 20 maja 2021 r. o ochronie praw nabywcy lokalu mieszkalnego lub domu jednorodzinnego oraz </w:t>
            </w:r>
          </w:p>
          <w:p w14:paraId="22F90582" w14:textId="77777777" w:rsidR="00095A92" w:rsidRPr="00D31C8C" w:rsidRDefault="00095A92">
            <w:pPr>
              <w:rPr>
                <w:rFonts w:ascii="Titillium" w:hAnsi="Titillium"/>
                <w:sz w:val="16"/>
                <w:szCs w:val="16"/>
              </w:rPr>
            </w:pPr>
            <w:r w:rsidRPr="00D31C8C">
              <w:rPr>
                <w:rFonts w:ascii="Titillium" w:eastAsia="Times New Roman" w:hAnsi="Titillium" w:cs="Times New Roman"/>
                <w:sz w:val="16"/>
                <w:szCs w:val="16"/>
              </w:rPr>
              <w:t xml:space="preserve">Deweloperskim Funduszu </w:t>
            </w:r>
          </w:p>
          <w:p w14:paraId="46550E9D" w14:textId="77777777" w:rsidR="00095A92" w:rsidRPr="00D31C8C" w:rsidRDefault="00095A92">
            <w:pPr>
              <w:rPr>
                <w:rFonts w:ascii="Titillium" w:hAnsi="Titillium"/>
                <w:sz w:val="16"/>
                <w:szCs w:val="16"/>
              </w:rPr>
            </w:pPr>
            <w:r w:rsidRPr="00D31C8C">
              <w:rPr>
                <w:rFonts w:ascii="Titillium" w:eastAsia="Times New Roman" w:hAnsi="Titillium" w:cs="Times New Roman"/>
                <w:sz w:val="16"/>
                <w:szCs w:val="16"/>
              </w:rPr>
              <w:t xml:space="preserve">Gwarancyjnym </w:t>
            </w:r>
          </w:p>
        </w:tc>
        <w:tc>
          <w:tcPr>
            <w:tcW w:w="3071" w:type="dxa"/>
            <w:tcBorders>
              <w:top w:val="single" w:sz="4" w:space="0" w:color="000000"/>
              <w:left w:val="single" w:sz="4" w:space="0" w:color="000000"/>
              <w:bottom w:val="single" w:sz="4" w:space="0" w:color="000000"/>
              <w:right w:val="single" w:sz="4" w:space="0" w:color="000000"/>
            </w:tcBorders>
            <w:vAlign w:val="center"/>
          </w:tcPr>
          <w:p w14:paraId="481E7454" w14:textId="77777777" w:rsidR="00095A92" w:rsidRPr="00D31C8C" w:rsidRDefault="00095A92">
            <w:pPr>
              <w:ind w:left="4"/>
              <w:rPr>
                <w:rFonts w:ascii="Titillium" w:hAnsi="Titillium"/>
                <w:sz w:val="16"/>
                <w:szCs w:val="16"/>
              </w:rPr>
            </w:pPr>
            <w:r w:rsidRPr="00D31C8C">
              <w:rPr>
                <w:rFonts w:ascii="Titillium" w:eastAsia="Times New Roman" w:hAnsi="Titillium" w:cs="Times New Roman"/>
                <w:sz w:val="16"/>
                <w:szCs w:val="16"/>
              </w:rPr>
              <w:t xml:space="preserve">Liczba kondygnacji </w:t>
            </w:r>
          </w:p>
        </w:tc>
        <w:tc>
          <w:tcPr>
            <w:tcW w:w="3639" w:type="dxa"/>
            <w:tcBorders>
              <w:top w:val="single" w:sz="4" w:space="0" w:color="000000"/>
              <w:left w:val="single" w:sz="4" w:space="0" w:color="000000"/>
              <w:bottom w:val="single" w:sz="4" w:space="0" w:color="000000"/>
              <w:right w:val="single" w:sz="4" w:space="0" w:color="000000"/>
            </w:tcBorders>
          </w:tcPr>
          <w:p w14:paraId="3BCF0CA9" w14:textId="2B1AC14D" w:rsidR="00994D8A" w:rsidRPr="00AD0663" w:rsidRDefault="00994D8A" w:rsidP="00994D8A">
            <w:pPr>
              <w:rPr>
                <w:rFonts w:ascii="Titillium" w:eastAsia="Calibri" w:hAnsi="Titillium" w:cs="Calibri"/>
                <w:bCs/>
                <w:sz w:val="16"/>
                <w:szCs w:val="16"/>
              </w:rPr>
            </w:pPr>
            <w:r w:rsidRPr="00AD0663">
              <w:rPr>
                <w:rFonts w:ascii="Titillium" w:eastAsia="Calibri" w:hAnsi="Titillium" w:cs="Calibri"/>
                <w:bCs/>
                <w:sz w:val="16"/>
                <w:szCs w:val="16"/>
              </w:rPr>
              <w:t xml:space="preserve">kondygnacji naziemnych –  7 </w:t>
            </w:r>
          </w:p>
          <w:p w14:paraId="53618571" w14:textId="11258C9C" w:rsidR="00D1635E" w:rsidRPr="00756984" w:rsidRDefault="00994D8A" w:rsidP="00994D8A">
            <w:pPr>
              <w:ind w:left="2"/>
              <w:rPr>
                <w:rFonts w:ascii="Titillium" w:hAnsi="Titillium"/>
                <w:sz w:val="16"/>
                <w:szCs w:val="16"/>
              </w:rPr>
            </w:pPr>
            <w:r w:rsidRPr="00AD0663">
              <w:rPr>
                <w:rFonts w:ascii="Titillium" w:eastAsia="Calibri" w:hAnsi="Titillium" w:cs="Calibri"/>
                <w:bCs/>
                <w:sz w:val="16"/>
                <w:szCs w:val="16"/>
              </w:rPr>
              <w:lastRenderedPageBreak/>
              <w:t>kondygnacji podziemnych - 2</w:t>
            </w:r>
          </w:p>
        </w:tc>
      </w:tr>
      <w:tr w:rsidR="00756984" w:rsidRPr="00756984" w14:paraId="61011EDE" w14:textId="77777777" w:rsidTr="009E62FD">
        <w:trPr>
          <w:trHeight w:val="218"/>
        </w:trPr>
        <w:tc>
          <w:tcPr>
            <w:tcW w:w="2929" w:type="dxa"/>
            <w:vMerge/>
            <w:tcBorders>
              <w:top w:val="nil"/>
              <w:left w:val="single" w:sz="4" w:space="0" w:color="000000"/>
              <w:bottom w:val="nil"/>
              <w:right w:val="single" w:sz="4" w:space="0" w:color="000000"/>
            </w:tcBorders>
          </w:tcPr>
          <w:p w14:paraId="1621E715" w14:textId="77777777" w:rsidR="00095A92" w:rsidRPr="00D31C8C" w:rsidRDefault="00095A92">
            <w:pPr>
              <w:rPr>
                <w:rFonts w:ascii="Titillium" w:hAnsi="Titillium"/>
                <w:sz w:val="16"/>
                <w:szCs w:val="16"/>
              </w:rPr>
            </w:pPr>
          </w:p>
        </w:tc>
        <w:tc>
          <w:tcPr>
            <w:tcW w:w="3071" w:type="dxa"/>
            <w:tcBorders>
              <w:top w:val="single" w:sz="4" w:space="0" w:color="000000"/>
              <w:left w:val="single" w:sz="4" w:space="0" w:color="000000"/>
              <w:bottom w:val="single" w:sz="4" w:space="0" w:color="000000"/>
              <w:right w:val="single" w:sz="4" w:space="0" w:color="000000"/>
            </w:tcBorders>
            <w:vAlign w:val="center"/>
          </w:tcPr>
          <w:p w14:paraId="2DAAE107" w14:textId="77777777" w:rsidR="00095A92" w:rsidRPr="00D31C8C" w:rsidRDefault="00095A92">
            <w:pPr>
              <w:ind w:left="4"/>
              <w:rPr>
                <w:rFonts w:ascii="Titillium" w:hAnsi="Titillium"/>
                <w:sz w:val="16"/>
                <w:szCs w:val="16"/>
              </w:rPr>
            </w:pPr>
            <w:r w:rsidRPr="00D31C8C">
              <w:rPr>
                <w:rFonts w:ascii="Titillium" w:eastAsia="Times New Roman" w:hAnsi="Titillium" w:cs="Times New Roman"/>
                <w:sz w:val="16"/>
                <w:szCs w:val="16"/>
              </w:rPr>
              <w:t xml:space="preserve">Technologia wykonania  </w:t>
            </w:r>
          </w:p>
        </w:tc>
        <w:tc>
          <w:tcPr>
            <w:tcW w:w="3639" w:type="dxa"/>
            <w:tcBorders>
              <w:top w:val="single" w:sz="4" w:space="0" w:color="000000"/>
              <w:left w:val="single" w:sz="4" w:space="0" w:color="000000"/>
              <w:bottom w:val="single" w:sz="4" w:space="0" w:color="000000"/>
              <w:right w:val="single" w:sz="4" w:space="0" w:color="000000"/>
            </w:tcBorders>
            <w:vAlign w:val="center"/>
          </w:tcPr>
          <w:p w14:paraId="6525350D" w14:textId="2F45C90B" w:rsidR="00A25D4E" w:rsidRPr="00A02657" w:rsidRDefault="004B2CB1" w:rsidP="00553D0F">
            <w:pPr>
              <w:ind w:left="2"/>
              <w:jc w:val="both"/>
              <w:rPr>
                <w:rFonts w:ascii="Titillium" w:hAnsi="Titillium"/>
                <w:color w:val="FF0000"/>
                <w:sz w:val="16"/>
                <w:szCs w:val="16"/>
              </w:rPr>
            </w:pPr>
            <w:r w:rsidRPr="00AD0663">
              <w:rPr>
                <w:rFonts w:ascii="Titillium" w:hAnsi="Titillium"/>
                <w:sz w:val="16"/>
                <w:szCs w:val="16"/>
              </w:rPr>
              <w:t>Projektowany b</w:t>
            </w:r>
            <w:r w:rsidR="00A25D4E" w:rsidRPr="00AD0663">
              <w:rPr>
                <w:rFonts w:ascii="Titillium" w:hAnsi="Titillium"/>
                <w:sz w:val="16"/>
                <w:szCs w:val="16"/>
              </w:rPr>
              <w:t xml:space="preserve">udynek </w:t>
            </w:r>
            <w:r w:rsidRPr="00AD0663">
              <w:rPr>
                <w:rFonts w:ascii="Titillium" w:hAnsi="Titillium"/>
                <w:sz w:val="16"/>
                <w:szCs w:val="16"/>
              </w:rPr>
              <w:t xml:space="preserve">jest </w:t>
            </w:r>
            <w:r w:rsidR="00477B63" w:rsidRPr="00AD0663">
              <w:rPr>
                <w:rFonts w:ascii="Titillium" w:hAnsi="Titillium"/>
                <w:sz w:val="16"/>
                <w:szCs w:val="16"/>
              </w:rPr>
              <w:t xml:space="preserve">siedmiokondygnacyjny </w:t>
            </w:r>
            <w:r w:rsidR="00A25D4E" w:rsidRPr="00AD0663">
              <w:rPr>
                <w:rFonts w:ascii="Titillium" w:hAnsi="Titillium"/>
                <w:sz w:val="16"/>
                <w:szCs w:val="16"/>
              </w:rPr>
              <w:t>w kształcie litery C</w:t>
            </w:r>
            <w:r w:rsidRPr="00AD0663">
              <w:rPr>
                <w:rFonts w:ascii="Titillium" w:hAnsi="Titillium"/>
                <w:sz w:val="16"/>
                <w:szCs w:val="16"/>
              </w:rPr>
              <w:t>,</w:t>
            </w:r>
            <w:r w:rsidR="00477B63" w:rsidRPr="00AD0663">
              <w:rPr>
                <w:rFonts w:ascii="Titillium" w:hAnsi="Titillium"/>
                <w:sz w:val="16"/>
                <w:szCs w:val="16"/>
              </w:rPr>
              <w:t xml:space="preserve"> </w:t>
            </w:r>
            <w:r w:rsidR="00A25D4E" w:rsidRPr="00AD0663">
              <w:rPr>
                <w:rFonts w:ascii="Titillium" w:hAnsi="Titillium"/>
                <w:sz w:val="16"/>
                <w:szCs w:val="16"/>
              </w:rPr>
              <w:t xml:space="preserve">z obniżeniem </w:t>
            </w:r>
            <w:r w:rsidR="002D43B7" w:rsidRPr="00AD0663">
              <w:rPr>
                <w:rFonts w:ascii="Titillium" w:hAnsi="Titillium"/>
                <w:sz w:val="16"/>
                <w:szCs w:val="16"/>
              </w:rPr>
              <w:t>części skrzydła wschodniego do pięciu kondygnacji. Budynek posiada dwie kondygnacje podziemne, które stanowią jeden gara</w:t>
            </w:r>
            <w:r w:rsidR="00A02657" w:rsidRPr="00AD0663">
              <w:rPr>
                <w:rFonts w:ascii="Titillium" w:hAnsi="Titillium"/>
                <w:sz w:val="16"/>
                <w:szCs w:val="16"/>
              </w:rPr>
              <w:t>ż z wewnętrzną pochylnią</w:t>
            </w:r>
            <w:r w:rsidR="002D43B7" w:rsidRPr="00AD0663">
              <w:rPr>
                <w:rFonts w:ascii="Titillium" w:hAnsi="Titillium"/>
                <w:sz w:val="16"/>
                <w:szCs w:val="16"/>
              </w:rPr>
              <w:t>, natomiast drugi garaż zlokalizowano na poziomie części powierzchni parteru. Pomieszczenia zlokalizowane na parterze budynku od strony otaczających ulic przeznaczono pod lokale usługowo-handlowe.</w:t>
            </w:r>
            <w:r w:rsidR="00A02657" w:rsidRPr="00AD0663">
              <w:rPr>
                <w:rFonts w:ascii="Titillium" w:hAnsi="Titillium"/>
                <w:sz w:val="16"/>
                <w:szCs w:val="16"/>
              </w:rPr>
              <w:t xml:space="preserve"> </w:t>
            </w:r>
            <w:r w:rsidR="000B0F9B" w:rsidRPr="0060285C">
              <w:rPr>
                <w:rFonts w:ascii="Titillium" w:hAnsi="Titillium"/>
                <w:color w:val="000000" w:themeColor="text1"/>
                <w:sz w:val="16"/>
                <w:szCs w:val="16"/>
              </w:rPr>
              <w:t>Budynek zaprojektowano w konstrukcji żelbetowej ze stropami żelbetowymi monolitycznymi. Ściany kondygnacji od -2 do +1 zaprojektowano jako żelbetowe.</w:t>
            </w:r>
          </w:p>
          <w:p w14:paraId="7DAE6616" w14:textId="77777777" w:rsidR="00A22E78" w:rsidRPr="00756984" w:rsidRDefault="00A22E78" w:rsidP="00A22E78">
            <w:pPr>
              <w:jc w:val="both"/>
              <w:rPr>
                <w:rFonts w:ascii="Titillium" w:hAnsi="Titillium"/>
                <w:sz w:val="16"/>
                <w:szCs w:val="16"/>
              </w:rPr>
            </w:pPr>
          </w:p>
          <w:p w14:paraId="3958ED21" w14:textId="076D0D93" w:rsidR="00553D0F" w:rsidRPr="00AD0663" w:rsidRDefault="00553D0F" w:rsidP="00A22E78">
            <w:pPr>
              <w:jc w:val="both"/>
              <w:rPr>
                <w:rFonts w:ascii="Titillium" w:hAnsi="Titillium"/>
                <w:sz w:val="16"/>
                <w:szCs w:val="16"/>
              </w:rPr>
            </w:pPr>
            <w:r w:rsidRPr="00AD0663">
              <w:rPr>
                <w:rFonts w:ascii="Titillium" w:hAnsi="Titillium"/>
                <w:sz w:val="16"/>
                <w:szCs w:val="16"/>
              </w:rPr>
              <w:t>Szczegółowy opis technologii wykonania:</w:t>
            </w:r>
          </w:p>
          <w:p w14:paraId="2AC7723B" w14:textId="30E83F82" w:rsidR="00D27218" w:rsidRPr="00AD0663" w:rsidRDefault="00553D0F" w:rsidP="00E51FD2">
            <w:pPr>
              <w:ind w:left="2"/>
              <w:jc w:val="both"/>
              <w:rPr>
                <w:rFonts w:ascii="Titillium" w:hAnsi="Titillium"/>
                <w:sz w:val="16"/>
                <w:szCs w:val="16"/>
              </w:rPr>
            </w:pPr>
            <w:r w:rsidRPr="00AD0663">
              <w:rPr>
                <w:rFonts w:ascii="Titillium" w:hAnsi="Titillium"/>
                <w:sz w:val="16"/>
                <w:szCs w:val="16"/>
              </w:rPr>
              <w:t>Ściany, słupy:</w:t>
            </w:r>
          </w:p>
          <w:p w14:paraId="1D994CF7" w14:textId="5B529B92" w:rsidR="0063649D" w:rsidRPr="00AD0663" w:rsidRDefault="00553D0F" w:rsidP="0063649D">
            <w:pPr>
              <w:ind w:left="2"/>
              <w:jc w:val="both"/>
              <w:rPr>
                <w:rFonts w:ascii="Titillium" w:hAnsi="Titillium"/>
                <w:sz w:val="16"/>
                <w:szCs w:val="16"/>
              </w:rPr>
            </w:pPr>
            <w:r w:rsidRPr="00AD0663">
              <w:rPr>
                <w:rFonts w:ascii="Titillium" w:hAnsi="Titillium"/>
                <w:sz w:val="16"/>
                <w:szCs w:val="16"/>
              </w:rPr>
              <w:t xml:space="preserve">- ściany </w:t>
            </w:r>
            <w:r w:rsidR="00A22E78" w:rsidRPr="00AD0663">
              <w:rPr>
                <w:rFonts w:ascii="Titillium" w:hAnsi="Titillium"/>
                <w:sz w:val="16"/>
                <w:szCs w:val="16"/>
              </w:rPr>
              <w:t>kondygnacji podziemnych</w:t>
            </w:r>
            <w:r w:rsidR="00E51FD2" w:rsidRPr="00AD0663">
              <w:rPr>
                <w:rFonts w:ascii="Titillium" w:hAnsi="Titillium"/>
                <w:sz w:val="16"/>
                <w:szCs w:val="16"/>
              </w:rPr>
              <w:t xml:space="preserve"> - </w:t>
            </w:r>
            <w:r w:rsidRPr="00AD0663">
              <w:rPr>
                <w:rFonts w:ascii="Titillium" w:hAnsi="Titillium"/>
                <w:sz w:val="16"/>
                <w:szCs w:val="16"/>
              </w:rPr>
              <w:t>żelbetowe</w:t>
            </w:r>
            <w:r w:rsidR="00A22E78" w:rsidRPr="00AD0663">
              <w:rPr>
                <w:rFonts w:ascii="Titillium" w:hAnsi="Titillium"/>
                <w:sz w:val="16"/>
                <w:szCs w:val="16"/>
              </w:rPr>
              <w:t xml:space="preserve"> </w:t>
            </w:r>
            <w:r w:rsidR="00A4701E" w:rsidRPr="00AD0663">
              <w:rPr>
                <w:rFonts w:ascii="Titillium" w:hAnsi="Titillium"/>
                <w:sz w:val="16"/>
                <w:szCs w:val="16"/>
              </w:rPr>
              <w:t>zbrojone</w:t>
            </w:r>
            <w:r w:rsidRPr="00AD0663">
              <w:rPr>
                <w:rFonts w:ascii="Titillium" w:hAnsi="Titillium"/>
                <w:sz w:val="16"/>
                <w:szCs w:val="16"/>
              </w:rPr>
              <w:t xml:space="preserve">; </w:t>
            </w:r>
          </w:p>
          <w:p w14:paraId="747365BE" w14:textId="65F47504" w:rsidR="00E51FD2" w:rsidRPr="00AD0663" w:rsidRDefault="00553D0F" w:rsidP="00553D0F">
            <w:pPr>
              <w:ind w:left="2"/>
              <w:jc w:val="both"/>
              <w:rPr>
                <w:rFonts w:ascii="Titillium" w:hAnsi="Titillium"/>
                <w:sz w:val="16"/>
                <w:szCs w:val="16"/>
              </w:rPr>
            </w:pPr>
            <w:r w:rsidRPr="00AD0663">
              <w:rPr>
                <w:rFonts w:ascii="Titillium" w:hAnsi="Titillium"/>
                <w:sz w:val="16"/>
                <w:szCs w:val="16"/>
              </w:rPr>
              <w:t xml:space="preserve">- </w:t>
            </w:r>
            <w:r w:rsidR="00E51FD2" w:rsidRPr="00AD0663">
              <w:rPr>
                <w:rFonts w:ascii="Titillium" w:hAnsi="Titillium"/>
                <w:sz w:val="16"/>
                <w:szCs w:val="16"/>
              </w:rPr>
              <w:t xml:space="preserve">ściany zewnętrzne murowane z bloczków silikatowych na zaprawie cementowo-wapiennej </w:t>
            </w:r>
          </w:p>
          <w:p w14:paraId="5175C26A" w14:textId="31498683" w:rsidR="00E51FD2" w:rsidRPr="00AD0663" w:rsidRDefault="00E51FD2" w:rsidP="00553D0F">
            <w:pPr>
              <w:ind w:left="2"/>
              <w:jc w:val="both"/>
              <w:rPr>
                <w:rFonts w:ascii="Titillium" w:hAnsi="Titillium"/>
                <w:sz w:val="16"/>
                <w:szCs w:val="16"/>
              </w:rPr>
            </w:pPr>
            <w:r w:rsidRPr="00AD0663">
              <w:rPr>
                <w:rFonts w:ascii="Titillium" w:hAnsi="Titillium"/>
                <w:sz w:val="16"/>
                <w:szCs w:val="16"/>
              </w:rPr>
              <w:t xml:space="preserve">- część ścian wewnętrznych części nadziemnej zaprojektowano jako </w:t>
            </w:r>
            <w:r w:rsidR="006F16F3" w:rsidRPr="00AD0663">
              <w:rPr>
                <w:rFonts w:ascii="Titillium" w:hAnsi="Titillium"/>
                <w:sz w:val="16"/>
                <w:szCs w:val="16"/>
              </w:rPr>
              <w:t>żelbetowe zbrojone</w:t>
            </w:r>
          </w:p>
          <w:p w14:paraId="44729F69" w14:textId="06B52C56" w:rsidR="00B90113" w:rsidRPr="00AD0663" w:rsidRDefault="00B90113" w:rsidP="00553D0F">
            <w:pPr>
              <w:ind w:left="2"/>
              <w:jc w:val="both"/>
              <w:rPr>
                <w:rFonts w:ascii="Titillium" w:hAnsi="Titillium"/>
                <w:sz w:val="16"/>
                <w:szCs w:val="16"/>
              </w:rPr>
            </w:pPr>
            <w:r w:rsidRPr="00AD0663">
              <w:rPr>
                <w:rFonts w:ascii="Titillium" w:hAnsi="Titillium"/>
                <w:sz w:val="16"/>
                <w:szCs w:val="16"/>
              </w:rPr>
              <w:t xml:space="preserve">Stropy żelbetowe monolityczne </w:t>
            </w:r>
          </w:p>
          <w:p w14:paraId="1922AF17" w14:textId="0EDD1ADC" w:rsidR="00553D0F" w:rsidRPr="00AD0663" w:rsidRDefault="00553D0F" w:rsidP="00A4701E">
            <w:pPr>
              <w:ind w:left="2"/>
              <w:jc w:val="both"/>
              <w:rPr>
                <w:rFonts w:ascii="Titillium" w:hAnsi="Titillium"/>
                <w:sz w:val="16"/>
                <w:szCs w:val="16"/>
              </w:rPr>
            </w:pPr>
            <w:r w:rsidRPr="00AD0663">
              <w:rPr>
                <w:rFonts w:ascii="Titillium" w:hAnsi="Titillium"/>
                <w:sz w:val="16"/>
                <w:szCs w:val="16"/>
              </w:rPr>
              <w:t xml:space="preserve">- </w:t>
            </w:r>
            <w:r w:rsidR="00A4701E" w:rsidRPr="00AD0663">
              <w:rPr>
                <w:rFonts w:ascii="Titillium" w:hAnsi="Titillium"/>
                <w:sz w:val="16"/>
                <w:szCs w:val="16"/>
              </w:rPr>
              <w:t>ściany klatek schodowych i szybów windowych żelbetowe monolityczne zbrojone</w:t>
            </w:r>
            <w:r w:rsidR="00756984" w:rsidRPr="00AD0663">
              <w:rPr>
                <w:rFonts w:ascii="Titillium" w:hAnsi="Titillium"/>
                <w:sz w:val="16"/>
                <w:szCs w:val="16"/>
              </w:rPr>
              <w:t xml:space="preserve"> lub z pustaków spełniających parametry akustyczne i cieplne</w:t>
            </w:r>
          </w:p>
          <w:p w14:paraId="40CDD455" w14:textId="468772C0" w:rsidR="00553D0F" w:rsidRPr="00AD0663" w:rsidRDefault="00553D0F" w:rsidP="00553D0F">
            <w:pPr>
              <w:ind w:left="2"/>
              <w:jc w:val="both"/>
              <w:rPr>
                <w:rFonts w:ascii="Titillium" w:hAnsi="Titillium"/>
                <w:sz w:val="16"/>
                <w:szCs w:val="16"/>
              </w:rPr>
            </w:pPr>
            <w:r w:rsidRPr="00AD0663">
              <w:rPr>
                <w:rFonts w:ascii="Titillium" w:hAnsi="Titillium"/>
                <w:sz w:val="16"/>
                <w:szCs w:val="16"/>
              </w:rPr>
              <w:t>Stropy</w:t>
            </w:r>
            <w:r w:rsidR="00A4701E" w:rsidRPr="00AD0663">
              <w:rPr>
                <w:rFonts w:ascii="Titillium" w:hAnsi="Titillium"/>
                <w:sz w:val="16"/>
                <w:szCs w:val="16"/>
              </w:rPr>
              <w:t>:</w:t>
            </w:r>
            <w:r w:rsidR="00A4701E" w:rsidRPr="00AD0663">
              <w:rPr>
                <w:rFonts w:ascii="Titillium" w:hAnsi="Titillium"/>
                <w:sz w:val="16"/>
                <w:szCs w:val="16"/>
              </w:rPr>
              <w:br/>
              <w:t>- w części podziemnej i nadziemnej żelbetowe monolityczne zbrojone</w:t>
            </w:r>
            <w:r w:rsidR="0098143D" w:rsidRPr="00AD0663">
              <w:rPr>
                <w:rFonts w:ascii="Titillium" w:hAnsi="Titillium"/>
                <w:sz w:val="16"/>
                <w:szCs w:val="16"/>
              </w:rPr>
              <w:t>.</w:t>
            </w:r>
          </w:p>
          <w:p w14:paraId="33579373" w14:textId="6CEC02E0" w:rsidR="00553D0F" w:rsidRPr="00BB5096" w:rsidRDefault="0098143D" w:rsidP="00553D0F">
            <w:pPr>
              <w:jc w:val="both"/>
              <w:rPr>
                <w:rFonts w:ascii="Titillium" w:hAnsi="Titillium"/>
                <w:sz w:val="16"/>
                <w:szCs w:val="16"/>
              </w:rPr>
            </w:pPr>
            <w:r w:rsidRPr="00BB5096">
              <w:rPr>
                <w:rFonts w:ascii="Titillium" w:hAnsi="Titillium"/>
                <w:sz w:val="16"/>
                <w:szCs w:val="16"/>
              </w:rPr>
              <w:t>Stropod</w:t>
            </w:r>
            <w:r w:rsidR="00553D0F" w:rsidRPr="00BB5096">
              <w:rPr>
                <w:rFonts w:ascii="Titillium" w:hAnsi="Titillium"/>
                <w:sz w:val="16"/>
                <w:szCs w:val="16"/>
              </w:rPr>
              <w:t>achy:</w:t>
            </w:r>
          </w:p>
          <w:p w14:paraId="0F879F90" w14:textId="747A8869" w:rsidR="00095A92" w:rsidRPr="00756984" w:rsidRDefault="00553D0F" w:rsidP="0060285C">
            <w:pPr>
              <w:ind w:left="2"/>
              <w:jc w:val="both"/>
              <w:rPr>
                <w:rFonts w:ascii="Titillium" w:hAnsi="Titillium"/>
                <w:sz w:val="16"/>
                <w:szCs w:val="16"/>
              </w:rPr>
            </w:pPr>
            <w:r w:rsidRPr="00BB5096">
              <w:rPr>
                <w:rFonts w:ascii="Titillium" w:hAnsi="Titillium"/>
                <w:sz w:val="16"/>
                <w:szCs w:val="16"/>
              </w:rPr>
              <w:t xml:space="preserve">- </w:t>
            </w:r>
            <w:r w:rsidR="0098143D" w:rsidRPr="00BB5096">
              <w:rPr>
                <w:rFonts w:ascii="Titillium" w:hAnsi="Titillium"/>
                <w:sz w:val="16"/>
                <w:szCs w:val="16"/>
              </w:rPr>
              <w:t>nad budynkiem i garażami zewnętrznymi stropodach żelbetowy monolityczny zbrojony</w:t>
            </w:r>
            <w:r w:rsidR="0060285C">
              <w:rPr>
                <w:rFonts w:ascii="Titillium" w:hAnsi="Titillium"/>
                <w:sz w:val="16"/>
                <w:szCs w:val="16"/>
              </w:rPr>
              <w:t>.</w:t>
            </w:r>
          </w:p>
        </w:tc>
      </w:tr>
      <w:tr w:rsidR="00756984" w:rsidRPr="00756984" w14:paraId="5C26F181" w14:textId="77777777" w:rsidTr="0098143D">
        <w:trPr>
          <w:trHeight w:val="511"/>
        </w:trPr>
        <w:tc>
          <w:tcPr>
            <w:tcW w:w="2929" w:type="dxa"/>
            <w:vMerge/>
            <w:tcBorders>
              <w:top w:val="nil"/>
              <w:left w:val="single" w:sz="4" w:space="0" w:color="000000"/>
              <w:bottom w:val="single" w:sz="4" w:space="0" w:color="F2F2F2"/>
              <w:right w:val="single" w:sz="4" w:space="0" w:color="000000"/>
            </w:tcBorders>
          </w:tcPr>
          <w:p w14:paraId="030A1666" w14:textId="77777777" w:rsidR="00095A92" w:rsidRPr="00D31C8C" w:rsidRDefault="00095A92">
            <w:pPr>
              <w:rPr>
                <w:rFonts w:ascii="Titillium" w:hAnsi="Titillium"/>
                <w:sz w:val="16"/>
                <w:szCs w:val="16"/>
              </w:rPr>
            </w:pPr>
          </w:p>
        </w:tc>
        <w:tc>
          <w:tcPr>
            <w:tcW w:w="3071" w:type="dxa"/>
            <w:tcBorders>
              <w:top w:val="single" w:sz="4" w:space="0" w:color="000000"/>
              <w:left w:val="single" w:sz="4" w:space="0" w:color="000000"/>
              <w:bottom w:val="single" w:sz="4" w:space="0" w:color="000000"/>
              <w:right w:val="single" w:sz="4" w:space="0" w:color="000000"/>
            </w:tcBorders>
          </w:tcPr>
          <w:p w14:paraId="350A022D" w14:textId="77777777" w:rsidR="00095A92" w:rsidRPr="00D31C8C" w:rsidRDefault="00095A92">
            <w:pPr>
              <w:ind w:left="4" w:right="47"/>
              <w:rPr>
                <w:rFonts w:ascii="Titillium" w:hAnsi="Titillium"/>
                <w:sz w:val="16"/>
                <w:szCs w:val="16"/>
              </w:rPr>
            </w:pPr>
            <w:r w:rsidRPr="00D31C8C">
              <w:rPr>
                <w:rFonts w:ascii="Titillium" w:eastAsia="Times New Roman" w:hAnsi="Titillium" w:cs="Times New Roman"/>
                <w:sz w:val="16"/>
                <w:szCs w:val="16"/>
              </w:rPr>
              <w:t xml:space="preserve">Standard prac wykończeniowych w części wspólnej budynku i terenie wokół niego, stanowiącym część wspólną nieruchomości </w:t>
            </w:r>
          </w:p>
        </w:tc>
        <w:tc>
          <w:tcPr>
            <w:tcW w:w="3639" w:type="dxa"/>
            <w:tcBorders>
              <w:top w:val="single" w:sz="4" w:space="0" w:color="000000"/>
              <w:left w:val="single" w:sz="4" w:space="0" w:color="000000"/>
              <w:bottom w:val="single" w:sz="4" w:space="0" w:color="000000"/>
              <w:right w:val="single" w:sz="4" w:space="0" w:color="000000"/>
            </w:tcBorders>
          </w:tcPr>
          <w:p w14:paraId="11110194" w14:textId="77777777" w:rsidR="009174EF" w:rsidRPr="00AD0663" w:rsidRDefault="00095A92" w:rsidP="009174EF">
            <w:pPr>
              <w:ind w:left="2"/>
              <w:rPr>
                <w:rFonts w:ascii="Titillium" w:eastAsia="Calibri" w:hAnsi="Titillium" w:cs="Calibri"/>
                <w:bCs/>
                <w:sz w:val="16"/>
                <w:szCs w:val="16"/>
              </w:rPr>
            </w:pPr>
            <w:r w:rsidRPr="00E426FB">
              <w:rPr>
                <w:rFonts w:ascii="Titillium" w:eastAsia="Calibri" w:hAnsi="Titillium" w:cs="Calibri"/>
                <w:bCs/>
                <w:color w:val="00B050"/>
                <w:sz w:val="16"/>
                <w:szCs w:val="16"/>
              </w:rPr>
              <w:t xml:space="preserve"> </w:t>
            </w:r>
            <w:r w:rsidR="009174EF" w:rsidRPr="00AD0663">
              <w:rPr>
                <w:rFonts w:ascii="Titillium" w:eastAsia="Calibri" w:hAnsi="Titillium" w:cs="Calibri"/>
                <w:bCs/>
                <w:sz w:val="16"/>
                <w:szCs w:val="16"/>
              </w:rPr>
              <w:t>Standard prac wykończeniowych:</w:t>
            </w:r>
          </w:p>
          <w:p w14:paraId="26CB1B3D" w14:textId="10EBAE54" w:rsidR="00BA29F3" w:rsidRPr="00AD0663" w:rsidRDefault="00BA29F3" w:rsidP="009174EF">
            <w:pPr>
              <w:ind w:left="2"/>
              <w:rPr>
                <w:rFonts w:ascii="Titillium" w:eastAsia="Calibri" w:hAnsi="Titillium" w:cs="Calibri"/>
                <w:bCs/>
                <w:sz w:val="16"/>
                <w:szCs w:val="16"/>
              </w:rPr>
            </w:pPr>
            <w:r w:rsidRPr="00AD0663">
              <w:rPr>
                <w:rFonts w:ascii="Titillium" w:eastAsia="Calibri" w:hAnsi="Titillium" w:cs="Calibri"/>
                <w:bCs/>
                <w:sz w:val="16"/>
                <w:szCs w:val="16"/>
              </w:rPr>
              <w:t xml:space="preserve">- ściany zewnętrzne tynkowane, częściowo </w:t>
            </w:r>
            <w:r w:rsidR="007C507E" w:rsidRPr="00AD0663">
              <w:rPr>
                <w:rFonts w:ascii="Titillium" w:eastAsia="Calibri" w:hAnsi="Titillium" w:cs="Calibri"/>
                <w:bCs/>
                <w:sz w:val="16"/>
                <w:szCs w:val="16"/>
              </w:rPr>
              <w:t>wykończone płytami HPL</w:t>
            </w:r>
          </w:p>
          <w:p w14:paraId="547633FA" w14:textId="3FC364C3" w:rsidR="009174EF" w:rsidRPr="00AD0663" w:rsidRDefault="009174EF" w:rsidP="009174EF">
            <w:pPr>
              <w:ind w:left="2"/>
              <w:rPr>
                <w:rFonts w:ascii="Titillium" w:eastAsia="Calibri" w:hAnsi="Titillium" w:cs="Calibri"/>
                <w:bCs/>
                <w:sz w:val="16"/>
                <w:szCs w:val="16"/>
              </w:rPr>
            </w:pPr>
            <w:r w:rsidRPr="00AD0663">
              <w:rPr>
                <w:rFonts w:ascii="Titillium" w:eastAsia="Calibri" w:hAnsi="Titillium" w:cs="Calibri"/>
                <w:bCs/>
                <w:sz w:val="16"/>
                <w:szCs w:val="16"/>
              </w:rPr>
              <w:t xml:space="preserve">- ściany klatek schodowych </w:t>
            </w:r>
            <w:r w:rsidR="00FD584C" w:rsidRPr="00AD0663">
              <w:rPr>
                <w:rFonts w:ascii="Titillium" w:eastAsia="Calibri" w:hAnsi="Titillium" w:cs="Calibri"/>
                <w:bCs/>
                <w:sz w:val="16"/>
                <w:szCs w:val="16"/>
              </w:rPr>
              <w:t>tynkowane</w:t>
            </w:r>
            <w:r w:rsidR="007C507E" w:rsidRPr="00AD0663">
              <w:rPr>
                <w:rFonts w:ascii="Titillium" w:eastAsia="Calibri" w:hAnsi="Titillium" w:cs="Calibri"/>
                <w:bCs/>
                <w:sz w:val="16"/>
                <w:szCs w:val="16"/>
              </w:rPr>
              <w:t>,</w:t>
            </w:r>
          </w:p>
          <w:p w14:paraId="25C90DD7" w14:textId="421FFC7E" w:rsidR="007C507E" w:rsidRPr="00AD0663" w:rsidRDefault="007C507E" w:rsidP="009174EF">
            <w:pPr>
              <w:ind w:left="2"/>
              <w:rPr>
                <w:rFonts w:ascii="Titillium" w:eastAsia="Calibri" w:hAnsi="Titillium" w:cs="Calibri"/>
                <w:bCs/>
                <w:sz w:val="16"/>
                <w:szCs w:val="16"/>
              </w:rPr>
            </w:pPr>
            <w:r w:rsidRPr="00AD0663">
              <w:rPr>
                <w:rFonts w:ascii="Titillium" w:eastAsia="Calibri" w:hAnsi="Titillium" w:cs="Calibri"/>
                <w:bCs/>
                <w:sz w:val="16"/>
                <w:szCs w:val="16"/>
              </w:rPr>
              <w:t>- podłogi korytarzy i schodów klatek schodowych wykończone gresem,</w:t>
            </w:r>
          </w:p>
          <w:p w14:paraId="4E5FF708" w14:textId="77777777" w:rsidR="009174EF" w:rsidRPr="00AD0663" w:rsidRDefault="009174EF" w:rsidP="009174EF">
            <w:pPr>
              <w:ind w:left="2"/>
              <w:rPr>
                <w:rFonts w:ascii="Titillium" w:eastAsia="Calibri" w:hAnsi="Titillium" w:cs="Calibri"/>
                <w:bCs/>
                <w:sz w:val="16"/>
                <w:szCs w:val="16"/>
              </w:rPr>
            </w:pPr>
            <w:r w:rsidRPr="00AD0663">
              <w:rPr>
                <w:rFonts w:ascii="Titillium" w:eastAsia="Calibri" w:hAnsi="Titillium" w:cs="Calibri"/>
                <w:bCs/>
                <w:sz w:val="16"/>
                <w:szCs w:val="16"/>
              </w:rPr>
              <w:t xml:space="preserve">- dojścia i dojazdy – </w:t>
            </w:r>
            <w:proofErr w:type="spellStart"/>
            <w:r w:rsidRPr="00AD0663">
              <w:rPr>
                <w:rFonts w:ascii="Titillium" w:eastAsia="Calibri" w:hAnsi="Titillium" w:cs="Calibri"/>
                <w:bCs/>
                <w:sz w:val="16"/>
                <w:szCs w:val="16"/>
              </w:rPr>
              <w:t>polbruk</w:t>
            </w:r>
            <w:proofErr w:type="spellEnd"/>
            <w:r w:rsidRPr="00AD0663">
              <w:rPr>
                <w:rFonts w:ascii="Titillium" w:eastAsia="Calibri" w:hAnsi="Titillium" w:cs="Calibri"/>
                <w:bCs/>
                <w:sz w:val="16"/>
                <w:szCs w:val="16"/>
              </w:rPr>
              <w:t>,</w:t>
            </w:r>
          </w:p>
          <w:p w14:paraId="5C0237E3" w14:textId="321C23D3" w:rsidR="00095A92" w:rsidRPr="00E426FB" w:rsidRDefault="009174EF" w:rsidP="009174EF">
            <w:pPr>
              <w:ind w:left="2"/>
              <w:rPr>
                <w:rFonts w:ascii="Titillium" w:hAnsi="Titillium"/>
                <w:bCs/>
                <w:color w:val="00B050"/>
                <w:sz w:val="16"/>
                <w:szCs w:val="16"/>
              </w:rPr>
            </w:pPr>
            <w:r w:rsidRPr="00AD0663">
              <w:rPr>
                <w:rFonts w:ascii="Titillium" w:eastAsia="Calibri" w:hAnsi="Titillium" w:cs="Calibri"/>
                <w:bCs/>
                <w:sz w:val="16"/>
                <w:szCs w:val="16"/>
              </w:rPr>
              <w:t xml:space="preserve">- teren zielony z </w:t>
            </w:r>
            <w:proofErr w:type="spellStart"/>
            <w:r w:rsidRPr="00AD0663">
              <w:rPr>
                <w:rFonts w:ascii="Titillium" w:eastAsia="Calibri" w:hAnsi="Titillium" w:cs="Calibri"/>
                <w:bCs/>
                <w:sz w:val="16"/>
                <w:szCs w:val="16"/>
              </w:rPr>
              <w:t>nasadzeniami</w:t>
            </w:r>
            <w:proofErr w:type="spellEnd"/>
            <w:r w:rsidR="007C507E" w:rsidRPr="00AD0663">
              <w:rPr>
                <w:rFonts w:ascii="Titillium" w:eastAsia="Calibri" w:hAnsi="Titillium" w:cs="Calibri"/>
                <w:bCs/>
                <w:sz w:val="16"/>
                <w:szCs w:val="16"/>
              </w:rPr>
              <w:t>.</w:t>
            </w:r>
          </w:p>
        </w:tc>
      </w:tr>
      <w:tr w:rsidR="00756984" w:rsidRPr="00756984" w14:paraId="7B29D58F" w14:textId="77777777" w:rsidTr="00BA29F3">
        <w:trPr>
          <w:trHeight w:val="212"/>
        </w:trPr>
        <w:tc>
          <w:tcPr>
            <w:tcW w:w="2929" w:type="dxa"/>
            <w:tcBorders>
              <w:top w:val="single" w:sz="4" w:space="0" w:color="F2F2F2"/>
              <w:left w:val="single" w:sz="4" w:space="0" w:color="000000"/>
              <w:bottom w:val="single" w:sz="4" w:space="0" w:color="F2F2F2"/>
              <w:right w:val="single" w:sz="4" w:space="0" w:color="000000"/>
            </w:tcBorders>
            <w:shd w:val="clear" w:color="auto" w:fill="F2F2F2"/>
            <w:vAlign w:val="center"/>
          </w:tcPr>
          <w:p w14:paraId="5D0BCD3C" w14:textId="77777777" w:rsidR="00095A92" w:rsidRPr="00D31C8C" w:rsidRDefault="00095A92">
            <w:pPr>
              <w:rPr>
                <w:rFonts w:ascii="Titillium" w:hAnsi="Titillium"/>
                <w:sz w:val="16"/>
                <w:szCs w:val="16"/>
              </w:rPr>
            </w:pPr>
            <w:r w:rsidRPr="00D31C8C">
              <w:rPr>
                <w:rFonts w:ascii="Titillium" w:eastAsia="Calibri" w:hAnsi="Titillium" w:cs="Calibri"/>
                <w:b/>
                <w:sz w:val="16"/>
                <w:szCs w:val="16"/>
              </w:rPr>
              <w:t xml:space="preserve"> </w:t>
            </w:r>
          </w:p>
        </w:tc>
        <w:tc>
          <w:tcPr>
            <w:tcW w:w="3071" w:type="dxa"/>
            <w:tcBorders>
              <w:top w:val="single" w:sz="4" w:space="0" w:color="000000"/>
              <w:left w:val="single" w:sz="4" w:space="0" w:color="000000"/>
              <w:bottom w:val="single" w:sz="4" w:space="0" w:color="000000"/>
              <w:right w:val="single" w:sz="4" w:space="0" w:color="000000"/>
            </w:tcBorders>
            <w:vAlign w:val="center"/>
          </w:tcPr>
          <w:p w14:paraId="28CD5BCD" w14:textId="77777777" w:rsidR="00095A92" w:rsidRPr="00D31C8C" w:rsidRDefault="00095A92">
            <w:pPr>
              <w:ind w:left="4"/>
              <w:rPr>
                <w:rFonts w:ascii="Titillium" w:hAnsi="Titillium"/>
                <w:sz w:val="16"/>
                <w:szCs w:val="16"/>
              </w:rPr>
            </w:pPr>
            <w:r w:rsidRPr="00D31C8C">
              <w:rPr>
                <w:rFonts w:ascii="Titillium" w:eastAsia="Times New Roman" w:hAnsi="Titillium" w:cs="Times New Roman"/>
                <w:sz w:val="16"/>
                <w:szCs w:val="16"/>
              </w:rPr>
              <w:t xml:space="preserve">Liczba lokali w budynku </w:t>
            </w:r>
          </w:p>
        </w:tc>
        <w:tc>
          <w:tcPr>
            <w:tcW w:w="3639" w:type="dxa"/>
            <w:tcBorders>
              <w:top w:val="single" w:sz="4" w:space="0" w:color="000000"/>
              <w:left w:val="single" w:sz="4" w:space="0" w:color="000000"/>
              <w:bottom w:val="single" w:sz="4" w:space="0" w:color="000000"/>
              <w:right w:val="single" w:sz="4" w:space="0" w:color="000000"/>
            </w:tcBorders>
            <w:vAlign w:val="center"/>
          </w:tcPr>
          <w:p w14:paraId="53E072B0" w14:textId="76E91610" w:rsidR="00095A92" w:rsidRPr="00AD0663" w:rsidRDefault="009174EF">
            <w:pPr>
              <w:ind w:left="2"/>
              <w:rPr>
                <w:rFonts w:ascii="Titillium" w:eastAsia="Calibri" w:hAnsi="Titillium" w:cs="Calibri"/>
                <w:bCs/>
                <w:sz w:val="16"/>
                <w:szCs w:val="16"/>
              </w:rPr>
            </w:pPr>
            <w:r w:rsidRPr="00AD0663">
              <w:rPr>
                <w:rFonts w:ascii="Titillium" w:eastAsia="Calibri" w:hAnsi="Titillium" w:cs="Calibri"/>
                <w:bCs/>
                <w:sz w:val="16"/>
                <w:szCs w:val="16"/>
              </w:rPr>
              <w:t>-</w:t>
            </w:r>
            <w:r w:rsidR="00BA29F3" w:rsidRPr="00AD0663">
              <w:rPr>
                <w:rFonts w:ascii="Titillium" w:eastAsia="Calibri" w:hAnsi="Titillium" w:cs="Calibri"/>
                <w:bCs/>
                <w:sz w:val="16"/>
                <w:szCs w:val="16"/>
              </w:rPr>
              <w:t xml:space="preserve"> </w:t>
            </w:r>
            <w:r w:rsidR="007E669A" w:rsidRPr="00AD0663">
              <w:rPr>
                <w:rFonts w:ascii="Titillium" w:eastAsia="Calibri" w:hAnsi="Titillium" w:cs="Calibri"/>
                <w:bCs/>
                <w:sz w:val="16"/>
                <w:szCs w:val="16"/>
              </w:rPr>
              <w:t>63</w:t>
            </w:r>
            <w:r w:rsidRPr="00AD0663">
              <w:rPr>
                <w:rFonts w:ascii="Titillium" w:eastAsia="Calibri" w:hAnsi="Titillium" w:cs="Calibri"/>
                <w:bCs/>
                <w:sz w:val="16"/>
                <w:szCs w:val="16"/>
              </w:rPr>
              <w:t xml:space="preserve"> mieszka</w:t>
            </w:r>
            <w:r w:rsidR="007E669A" w:rsidRPr="00AD0663">
              <w:rPr>
                <w:rFonts w:ascii="Titillium" w:eastAsia="Calibri" w:hAnsi="Titillium" w:cs="Calibri"/>
                <w:bCs/>
                <w:sz w:val="16"/>
                <w:szCs w:val="16"/>
              </w:rPr>
              <w:t>nia</w:t>
            </w:r>
          </w:p>
          <w:p w14:paraId="69479B9D" w14:textId="72FFDAEC" w:rsidR="007F0C3F" w:rsidRPr="00AD0663" w:rsidRDefault="009174EF" w:rsidP="007F0C3F">
            <w:pPr>
              <w:ind w:left="2"/>
              <w:rPr>
                <w:rFonts w:ascii="Titillium" w:hAnsi="Titillium"/>
                <w:bCs/>
                <w:sz w:val="16"/>
                <w:szCs w:val="16"/>
              </w:rPr>
            </w:pPr>
            <w:r w:rsidRPr="00AD0663">
              <w:rPr>
                <w:rFonts w:ascii="Titillium" w:hAnsi="Titillium"/>
                <w:bCs/>
                <w:sz w:val="16"/>
                <w:szCs w:val="16"/>
              </w:rPr>
              <w:t xml:space="preserve">- </w:t>
            </w:r>
            <w:r w:rsidR="00BA29F3" w:rsidRPr="00AD0663">
              <w:rPr>
                <w:rFonts w:ascii="Titillium" w:hAnsi="Titillium"/>
                <w:bCs/>
                <w:sz w:val="16"/>
                <w:szCs w:val="16"/>
              </w:rPr>
              <w:t>6</w:t>
            </w:r>
            <w:r w:rsidRPr="00AD0663">
              <w:rPr>
                <w:rFonts w:ascii="Titillium" w:hAnsi="Titillium"/>
                <w:bCs/>
                <w:sz w:val="16"/>
                <w:szCs w:val="16"/>
              </w:rPr>
              <w:t xml:space="preserve"> loka</w:t>
            </w:r>
            <w:r w:rsidR="00FE0F13" w:rsidRPr="00AD0663">
              <w:rPr>
                <w:rFonts w:ascii="Titillium" w:hAnsi="Titillium"/>
                <w:bCs/>
                <w:sz w:val="16"/>
                <w:szCs w:val="16"/>
              </w:rPr>
              <w:t>l</w:t>
            </w:r>
            <w:r w:rsidR="00BA29F3" w:rsidRPr="00AD0663">
              <w:rPr>
                <w:rFonts w:ascii="Titillium" w:hAnsi="Titillium"/>
                <w:bCs/>
                <w:sz w:val="16"/>
                <w:szCs w:val="16"/>
              </w:rPr>
              <w:t>i</w:t>
            </w:r>
            <w:r w:rsidRPr="00AD0663">
              <w:rPr>
                <w:rFonts w:ascii="Titillium" w:hAnsi="Titillium"/>
                <w:bCs/>
                <w:sz w:val="16"/>
                <w:szCs w:val="16"/>
              </w:rPr>
              <w:t xml:space="preserve"> usługow</w:t>
            </w:r>
            <w:r w:rsidR="00BA29F3" w:rsidRPr="00AD0663">
              <w:rPr>
                <w:rFonts w:ascii="Titillium" w:hAnsi="Titillium"/>
                <w:bCs/>
                <w:sz w:val="16"/>
                <w:szCs w:val="16"/>
              </w:rPr>
              <w:t>ych</w:t>
            </w:r>
          </w:p>
        </w:tc>
      </w:tr>
      <w:tr w:rsidR="00756984" w:rsidRPr="00756984" w14:paraId="536D9911" w14:textId="77777777" w:rsidTr="00C01FC5">
        <w:trPr>
          <w:trHeight w:val="106"/>
        </w:trPr>
        <w:tc>
          <w:tcPr>
            <w:tcW w:w="2929" w:type="dxa"/>
            <w:tcBorders>
              <w:top w:val="single" w:sz="4" w:space="0" w:color="F2F2F2"/>
              <w:left w:val="single" w:sz="4" w:space="0" w:color="000000"/>
              <w:bottom w:val="single" w:sz="4" w:space="0" w:color="F2F2F2"/>
              <w:right w:val="single" w:sz="4" w:space="0" w:color="000000"/>
            </w:tcBorders>
            <w:shd w:val="clear" w:color="auto" w:fill="F2F2F2"/>
          </w:tcPr>
          <w:p w14:paraId="0EF2D500" w14:textId="77777777" w:rsidR="00095A92" w:rsidRPr="00D31C8C" w:rsidRDefault="00095A92">
            <w:pPr>
              <w:rPr>
                <w:rFonts w:ascii="Titillium" w:hAnsi="Titillium"/>
                <w:sz w:val="16"/>
                <w:szCs w:val="16"/>
              </w:rPr>
            </w:pPr>
            <w:r w:rsidRPr="00D31C8C">
              <w:rPr>
                <w:rFonts w:ascii="Titillium" w:eastAsia="Calibri" w:hAnsi="Titillium" w:cs="Calibri"/>
                <w:b/>
                <w:sz w:val="16"/>
                <w:szCs w:val="16"/>
              </w:rPr>
              <w:t xml:space="preserve"> </w:t>
            </w:r>
          </w:p>
        </w:tc>
        <w:tc>
          <w:tcPr>
            <w:tcW w:w="3071" w:type="dxa"/>
            <w:tcBorders>
              <w:top w:val="single" w:sz="4" w:space="0" w:color="000000"/>
              <w:left w:val="single" w:sz="4" w:space="0" w:color="000000"/>
              <w:bottom w:val="single" w:sz="4" w:space="0" w:color="000000"/>
              <w:right w:val="single" w:sz="4" w:space="0" w:color="000000"/>
            </w:tcBorders>
            <w:vAlign w:val="center"/>
          </w:tcPr>
          <w:p w14:paraId="14E212D5" w14:textId="1B4D0AA0" w:rsidR="00095A92" w:rsidRPr="00715DB9" w:rsidRDefault="00095A92">
            <w:pPr>
              <w:ind w:left="4"/>
              <w:rPr>
                <w:rFonts w:ascii="Titillium" w:hAnsi="Titillium"/>
                <w:sz w:val="16"/>
                <w:szCs w:val="16"/>
              </w:rPr>
            </w:pPr>
            <w:r w:rsidRPr="00715DB9">
              <w:rPr>
                <w:rFonts w:ascii="Titillium" w:eastAsia="Times New Roman" w:hAnsi="Titillium" w:cs="Times New Roman"/>
                <w:sz w:val="16"/>
                <w:szCs w:val="16"/>
              </w:rPr>
              <w:t xml:space="preserve">Liczba miejsc </w:t>
            </w:r>
            <w:r w:rsidR="00510FD4" w:rsidRPr="00715DB9">
              <w:rPr>
                <w:rFonts w:ascii="Titillium" w:eastAsia="Times New Roman" w:hAnsi="Titillium" w:cs="Times New Roman"/>
                <w:sz w:val="16"/>
                <w:szCs w:val="16"/>
              </w:rPr>
              <w:t xml:space="preserve">garażowych i </w:t>
            </w:r>
            <w:r w:rsidRPr="00715DB9">
              <w:rPr>
                <w:rFonts w:ascii="Titillium" w:eastAsia="Times New Roman" w:hAnsi="Titillium" w:cs="Times New Roman"/>
                <w:sz w:val="16"/>
                <w:szCs w:val="16"/>
              </w:rPr>
              <w:t xml:space="preserve">postojowych </w:t>
            </w:r>
          </w:p>
        </w:tc>
        <w:tc>
          <w:tcPr>
            <w:tcW w:w="3639" w:type="dxa"/>
            <w:tcBorders>
              <w:top w:val="single" w:sz="4" w:space="0" w:color="000000"/>
              <w:left w:val="single" w:sz="4" w:space="0" w:color="000000"/>
              <w:bottom w:val="single" w:sz="4" w:space="0" w:color="000000"/>
              <w:right w:val="single" w:sz="4" w:space="0" w:color="000000"/>
            </w:tcBorders>
          </w:tcPr>
          <w:p w14:paraId="2A0CDA52" w14:textId="0C1839D7" w:rsidR="00200F86" w:rsidRPr="00AD0663" w:rsidRDefault="006F3FBA" w:rsidP="00623891">
            <w:pPr>
              <w:ind w:left="2"/>
              <w:rPr>
                <w:rFonts w:ascii="Titillium" w:eastAsia="Calibri" w:hAnsi="Titillium" w:cs="Calibri"/>
                <w:bCs/>
                <w:sz w:val="16"/>
                <w:szCs w:val="16"/>
              </w:rPr>
            </w:pPr>
            <w:r w:rsidRPr="00AD0663">
              <w:rPr>
                <w:rFonts w:ascii="Titillium" w:eastAsia="Calibri" w:hAnsi="Titillium" w:cs="Calibri"/>
                <w:bCs/>
                <w:sz w:val="16"/>
                <w:szCs w:val="16"/>
              </w:rPr>
              <w:t xml:space="preserve">- </w:t>
            </w:r>
            <w:r w:rsidR="007E669A" w:rsidRPr="00AD0663">
              <w:rPr>
                <w:rFonts w:ascii="Titillium" w:eastAsia="Calibri" w:hAnsi="Titillium" w:cs="Calibri"/>
                <w:bCs/>
                <w:sz w:val="16"/>
                <w:szCs w:val="16"/>
              </w:rPr>
              <w:t>29</w:t>
            </w:r>
            <w:r w:rsidRPr="00AD0663">
              <w:rPr>
                <w:rFonts w:ascii="Titillium" w:eastAsia="Calibri" w:hAnsi="Titillium" w:cs="Calibri"/>
                <w:bCs/>
                <w:sz w:val="16"/>
                <w:szCs w:val="16"/>
              </w:rPr>
              <w:t xml:space="preserve"> miejsc postojowych na kondygnacji -2</w:t>
            </w:r>
          </w:p>
          <w:p w14:paraId="5E02B546" w14:textId="76070522" w:rsidR="006F3FBA" w:rsidRPr="00AD0663" w:rsidRDefault="006F3FBA" w:rsidP="00623891">
            <w:pPr>
              <w:ind w:left="2"/>
              <w:rPr>
                <w:rFonts w:ascii="Titillium" w:eastAsia="Calibri" w:hAnsi="Titillium" w:cs="Calibri"/>
                <w:bCs/>
                <w:sz w:val="16"/>
                <w:szCs w:val="16"/>
              </w:rPr>
            </w:pPr>
            <w:r w:rsidRPr="00AD0663">
              <w:rPr>
                <w:rFonts w:ascii="Titillium" w:eastAsia="Calibri" w:hAnsi="Titillium" w:cs="Calibri"/>
                <w:bCs/>
                <w:sz w:val="16"/>
                <w:szCs w:val="16"/>
              </w:rPr>
              <w:t xml:space="preserve">- </w:t>
            </w:r>
            <w:r w:rsidR="007E669A" w:rsidRPr="00AD0663">
              <w:rPr>
                <w:rFonts w:ascii="Titillium" w:eastAsia="Calibri" w:hAnsi="Titillium" w:cs="Calibri"/>
                <w:bCs/>
                <w:sz w:val="16"/>
                <w:szCs w:val="16"/>
              </w:rPr>
              <w:t>24</w:t>
            </w:r>
            <w:r w:rsidRPr="00AD0663">
              <w:rPr>
                <w:rFonts w:ascii="Titillium" w:eastAsia="Calibri" w:hAnsi="Titillium" w:cs="Calibri"/>
                <w:bCs/>
                <w:sz w:val="16"/>
                <w:szCs w:val="16"/>
              </w:rPr>
              <w:t xml:space="preserve"> miejsca postojowe na kondygnacji -1</w:t>
            </w:r>
          </w:p>
          <w:p w14:paraId="3FF920D6" w14:textId="3B7041A4" w:rsidR="006F3FBA" w:rsidRPr="00AD0663" w:rsidRDefault="006F3FBA" w:rsidP="00623891">
            <w:pPr>
              <w:ind w:left="2"/>
              <w:rPr>
                <w:rFonts w:ascii="Titillium" w:eastAsia="Calibri" w:hAnsi="Titillium" w:cs="Calibri"/>
                <w:bCs/>
                <w:sz w:val="16"/>
                <w:szCs w:val="16"/>
              </w:rPr>
            </w:pPr>
            <w:r w:rsidRPr="00AD0663">
              <w:rPr>
                <w:rFonts w:ascii="Titillium" w:eastAsia="Calibri" w:hAnsi="Titillium" w:cs="Calibri"/>
                <w:bCs/>
                <w:sz w:val="16"/>
                <w:szCs w:val="16"/>
              </w:rPr>
              <w:t xml:space="preserve">- </w:t>
            </w:r>
            <w:r w:rsidR="007E669A" w:rsidRPr="00AD0663">
              <w:rPr>
                <w:rFonts w:ascii="Titillium" w:eastAsia="Calibri" w:hAnsi="Titillium" w:cs="Calibri"/>
                <w:bCs/>
                <w:sz w:val="16"/>
                <w:szCs w:val="16"/>
              </w:rPr>
              <w:t>10</w:t>
            </w:r>
            <w:r w:rsidRPr="00AD0663">
              <w:rPr>
                <w:rFonts w:ascii="Titillium" w:eastAsia="Calibri" w:hAnsi="Titillium" w:cs="Calibri"/>
                <w:bCs/>
                <w:sz w:val="16"/>
                <w:szCs w:val="16"/>
              </w:rPr>
              <w:t xml:space="preserve"> miejsc postojowych na kondygnacji </w:t>
            </w:r>
            <w:r w:rsidR="00FC4844">
              <w:rPr>
                <w:rFonts w:ascii="Titillium" w:eastAsia="Calibri" w:hAnsi="Titillium" w:cs="Calibri"/>
                <w:bCs/>
                <w:sz w:val="16"/>
                <w:szCs w:val="16"/>
              </w:rPr>
              <w:t>1</w:t>
            </w:r>
            <w:r w:rsidRPr="00AD0663">
              <w:rPr>
                <w:rFonts w:ascii="Titillium" w:eastAsia="Calibri" w:hAnsi="Titillium" w:cs="Calibri"/>
                <w:bCs/>
                <w:sz w:val="16"/>
                <w:szCs w:val="16"/>
              </w:rPr>
              <w:t xml:space="preserve"> (parter)</w:t>
            </w:r>
          </w:p>
        </w:tc>
      </w:tr>
      <w:tr w:rsidR="00756984" w:rsidRPr="00756984" w14:paraId="2E23A4C3" w14:textId="77777777" w:rsidTr="006F1D50">
        <w:trPr>
          <w:trHeight w:val="542"/>
        </w:trPr>
        <w:tc>
          <w:tcPr>
            <w:tcW w:w="2929" w:type="dxa"/>
            <w:tcBorders>
              <w:top w:val="single" w:sz="4" w:space="0" w:color="F2F2F2"/>
              <w:left w:val="single" w:sz="4" w:space="0" w:color="000000"/>
              <w:bottom w:val="single" w:sz="4" w:space="0" w:color="F2F2F2"/>
              <w:right w:val="single" w:sz="4" w:space="0" w:color="000000"/>
            </w:tcBorders>
            <w:shd w:val="clear" w:color="auto" w:fill="F2F2F2"/>
            <w:vAlign w:val="center"/>
          </w:tcPr>
          <w:p w14:paraId="2E960D86" w14:textId="77777777" w:rsidR="00095A92" w:rsidRPr="00D31C8C" w:rsidRDefault="00095A92">
            <w:pPr>
              <w:rPr>
                <w:rFonts w:ascii="Titillium" w:hAnsi="Titillium"/>
                <w:sz w:val="16"/>
                <w:szCs w:val="16"/>
              </w:rPr>
            </w:pPr>
            <w:r w:rsidRPr="00D31C8C">
              <w:rPr>
                <w:rFonts w:ascii="Titillium" w:eastAsia="Calibri" w:hAnsi="Titillium" w:cs="Calibri"/>
                <w:b/>
                <w:sz w:val="16"/>
                <w:szCs w:val="16"/>
              </w:rPr>
              <w:t xml:space="preserve"> </w:t>
            </w:r>
          </w:p>
        </w:tc>
        <w:tc>
          <w:tcPr>
            <w:tcW w:w="3071" w:type="dxa"/>
            <w:tcBorders>
              <w:top w:val="single" w:sz="4" w:space="0" w:color="000000"/>
              <w:left w:val="single" w:sz="4" w:space="0" w:color="000000"/>
              <w:bottom w:val="single" w:sz="4" w:space="0" w:color="000000"/>
              <w:right w:val="single" w:sz="4" w:space="0" w:color="000000"/>
            </w:tcBorders>
            <w:vAlign w:val="center"/>
          </w:tcPr>
          <w:p w14:paraId="4D919A2E" w14:textId="77777777" w:rsidR="00095A92" w:rsidRPr="00D31C8C" w:rsidRDefault="00095A92">
            <w:pPr>
              <w:ind w:left="4"/>
              <w:rPr>
                <w:rFonts w:ascii="Titillium" w:hAnsi="Titillium"/>
                <w:sz w:val="16"/>
                <w:szCs w:val="16"/>
              </w:rPr>
            </w:pPr>
            <w:r w:rsidRPr="00D31C8C">
              <w:rPr>
                <w:rFonts w:ascii="Titillium" w:eastAsia="Times New Roman" w:hAnsi="Titillium" w:cs="Times New Roman"/>
                <w:sz w:val="16"/>
                <w:szCs w:val="16"/>
              </w:rPr>
              <w:t xml:space="preserve">Dostępne media w budynku </w:t>
            </w:r>
          </w:p>
        </w:tc>
        <w:tc>
          <w:tcPr>
            <w:tcW w:w="3639" w:type="dxa"/>
            <w:tcBorders>
              <w:top w:val="single" w:sz="4" w:space="0" w:color="000000"/>
              <w:left w:val="single" w:sz="4" w:space="0" w:color="000000"/>
              <w:bottom w:val="single" w:sz="4" w:space="0" w:color="000000"/>
              <w:right w:val="single" w:sz="4" w:space="0" w:color="000000"/>
            </w:tcBorders>
            <w:vAlign w:val="center"/>
          </w:tcPr>
          <w:p w14:paraId="48A95A99" w14:textId="04C0E9A0" w:rsidR="009174EF" w:rsidRPr="00756984" w:rsidRDefault="009174EF" w:rsidP="00755D20">
            <w:pPr>
              <w:rPr>
                <w:rFonts w:ascii="Titillium" w:eastAsia="Calibri" w:hAnsi="Titillium" w:cs="Calibri"/>
                <w:bCs/>
                <w:sz w:val="16"/>
                <w:szCs w:val="16"/>
              </w:rPr>
            </w:pPr>
            <w:r w:rsidRPr="00756984">
              <w:rPr>
                <w:rFonts w:ascii="Titillium" w:eastAsia="Calibri" w:hAnsi="Titillium" w:cs="Calibri"/>
                <w:bCs/>
                <w:sz w:val="16"/>
                <w:szCs w:val="16"/>
              </w:rPr>
              <w:t>- woda</w:t>
            </w:r>
          </w:p>
          <w:p w14:paraId="24058A48" w14:textId="77777777" w:rsidR="009174EF" w:rsidRPr="00756984" w:rsidRDefault="009174EF" w:rsidP="009174EF">
            <w:pPr>
              <w:ind w:left="2"/>
              <w:rPr>
                <w:rFonts w:ascii="Titillium" w:eastAsia="Calibri" w:hAnsi="Titillium" w:cs="Calibri"/>
                <w:bCs/>
                <w:sz w:val="16"/>
                <w:szCs w:val="16"/>
              </w:rPr>
            </w:pPr>
            <w:r w:rsidRPr="00756984">
              <w:rPr>
                <w:rFonts w:ascii="Titillium" w:eastAsia="Calibri" w:hAnsi="Titillium" w:cs="Calibri"/>
                <w:bCs/>
                <w:sz w:val="16"/>
                <w:szCs w:val="16"/>
              </w:rPr>
              <w:t>- energia elektryczna</w:t>
            </w:r>
          </w:p>
          <w:p w14:paraId="0396B8D0" w14:textId="77777777" w:rsidR="009174EF" w:rsidRPr="00756984" w:rsidRDefault="009174EF" w:rsidP="009174EF">
            <w:pPr>
              <w:ind w:left="2"/>
              <w:rPr>
                <w:rFonts w:ascii="Titillium" w:eastAsia="Calibri" w:hAnsi="Titillium" w:cs="Calibri"/>
                <w:bCs/>
                <w:sz w:val="16"/>
                <w:szCs w:val="16"/>
              </w:rPr>
            </w:pPr>
            <w:r w:rsidRPr="00756984">
              <w:rPr>
                <w:rFonts w:ascii="Titillium" w:eastAsia="Calibri" w:hAnsi="Titillium" w:cs="Calibri"/>
                <w:bCs/>
                <w:sz w:val="16"/>
                <w:szCs w:val="16"/>
              </w:rPr>
              <w:t>- energia cieplna</w:t>
            </w:r>
          </w:p>
          <w:p w14:paraId="483CB012" w14:textId="77777777" w:rsidR="009174EF" w:rsidRPr="00756984" w:rsidRDefault="009174EF" w:rsidP="009174EF">
            <w:pPr>
              <w:ind w:left="2"/>
              <w:rPr>
                <w:rFonts w:ascii="Titillium" w:eastAsia="Calibri" w:hAnsi="Titillium" w:cs="Calibri"/>
                <w:bCs/>
                <w:sz w:val="16"/>
                <w:szCs w:val="16"/>
              </w:rPr>
            </w:pPr>
            <w:r w:rsidRPr="00756984">
              <w:rPr>
                <w:rFonts w:ascii="Titillium" w:eastAsia="Calibri" w:hAnsi="Titillium" w:cs="Calibri"/>
                <w:bCs/>
                <w:sz w:val="16"/>
                <w:szCs w:val="16"/>
              </w:rPr>
              <w:t xml:space="preserve">- </w:t>
            </w:r>
            <w:proofErr w:type="spellStart"/>
            <w:r w:rsidRPr="00756984">
              <w:rPr>
                <w:rFonts w:ascii="Titillium" w:eastAsia="Calibri" w:hAnsi="Titillium" w:cs="Calibri"/>
                <w:bCs/>
                <w:sz w:val="16"/>
                <w:szCs w:val="16"/>
              </w:rPr>
              <w:t>internet</w:t>
            </w:r>
            <w:proofErr w:type="spellEnd"/>
          </w:p>
          <w:p w14:paraId="5B3B7855" w14:textId="77777777" w:rsidR="009174EF" w:rsidRPr="00756984" w:rsidRDefault="009174EF" w:rsidP="009174EF">
            <w:pPr>
              <w:ind w:left="2"/>
              <w:rPr>
                <w:rFonts w:ascii="Titillium" w:eastAsia="Calibri" w:hAnsi="Titillium" w:cs="Calibri"/>
                <w:bCs/>
                <w:sz w:val="16"/>
                <w:szCs w:val="16"/>
              </w:rPr>
            </w:pPr>
            <w:r w:rsidRPr="00756984">
              <w:rPr>
                <w:rFonts w:ascii="Titillium" w:eastAsia="Calibri" w:hAnsi="Titillium" w:cs="Calibri"/>
                <w:bCs/>
                <w:sz w:val="16"/>
                <w:szCs w:val="16"/>
              </w:rPr>
              <w:t>- telewizja</w:t>
            </w:r>
          </w:p>
          <w:p w14:paraId="50E17BF0" w14:textId="77777777" w:rsidR="009174EF" w:rsidRPr="00756984" w:rsidRDefault="009174EF" w:rsidP="009174EF">
            <w:pPr>
              <w:ind w:left="2"/>
              <w:rPr>
                <w:rFonts w:ascii="Titillium" w:eastAsia="Calibri" w:hAnsi="Titillium" w:cs="Calibri"/>
                <w:bCs/>
                <w:sz w:val="16"/>
                <w:szCs w:val="16"/>
              </w:rPr>
            </w:pPr>
            <w:r w:rsidRPr="00756984">
              <w:rPr>
                <w:rFonts w:ascii="Titillium" w:eastAsia="Calibri" w:hAnsi="Titillium" w:cs="Calibri"/>
                <w:bCs/>
                <w:sz w:val="16"/>
                <w:szCs w:val="16"/>
              </w:rPr>
              <w:t>- kanalizacja sanitarna</w:t>
            </w:r>
          </w:p>
          <w:p w14:paraId="65D4C202" w14:textId="755C868B" w:rsidR="00095A92" w:rsidRPr="00756984" w:rsidRDefault="009174EF" w:rsidP="009174EF">
            <w:pPr>
              <w:ind w:left="2"/>
              <w:rPr>
                <w:rFonts w:ascii="Titillium" w:hAnsi="Titillium"/>
                <w:sz w:val="16"/>
                <w:szCs w:val="16"/>
              </w:rPr>
            </w:pPr>
            <w:r w:rsidRPr="00756984">
              <w:rPr>
                <w:rFonts w:ascii="Titillium" w:eastAsia="Calibri" w:hAnsi="Titillium" w:cs="Calibri"/>
                <w:bCs/>
                <w:sz w:val="16"/>
                <w:szCs w:val="16"/>
              </w:rPr>
              <w:t>- kanalizacja deszczowa</w:t>
            </w:r>
          </w:p>
        </w:tc>
      </w:tr>
      <w:tr w:rsidR="00756984" w:rsidRPr="00756984" w14:paraId="06D3D8BF" w14:textId="77777777" w:rsidTr="006F1D50">
        <w:trPr>
          <w:trHeight w:val="542"/>
        </w:trPr>
        <w:tc>
          <w:tcPr>
            <w:tcW w:w="2929" w:type="dxa"/>
            <w:tcBorders>
              <w:top w:val="single" w:sz="4" w:space="0" w:color="F2F2F2"/>
              <w:left w:val="single" w:sz="4" w:space="0" w:color="000000"/>
              <w:bottom w:val="single" w:sz="4" w:space="0" w:color="000000"/>
              <w:right w:val="single" w:sz="4" w:space="0" w:color="000000"/>
            </w:tcBorders>
            <w:shd w:val="clear" w:color="auto" w:fill="F2F2F2"/>
            <w:vAlign w:val="center"/>
          </w:tcPr>
          <w:p w14:paraId="2874A51B" w14:textId="77777777" w:rsidR="00095A92" w:rsidRPr="00D31C8C" w:rsidRDefault="00095A92">
            <w:pPr>
              <w:rPr>
                <w:rFonts w:ascii="Titillium" w:hAnsi="Titillium"/>
                <w:sz w:val="16"/>
                <w:szCs w:val="16"/>
              </w:rPr>
            </w:pPr>
            <w:r w:rsidRPr="00D31C8C">
              <w:rPr>
                <w:rFonts w:ascii="Titillium" w:eastAsia="Calibri" w:hAnsi="Titillium" w:cs="Calibri"/>
                <w:b/>
                <w:sz w:val="16"/>
                <w:szCs w:val="16"/>
              </w:rPr>
              <w:t xml:space="preserve"> </w:t>
            </w:r>
          </w:p>
        </w:tc>
        <w:tc>
          <w:tcPr>
            <w:tcW w:w="3071" w:type="dxa"/>
            <w:tcBorders>
              <w:top w:val="single" w:sz="4" w:space="0" w:color="000000"/>
              <w:left w:val="single" w:sz="4" w:space="0" w:color="000000"/>
              <w:bottom w:val="single" w:sz="4" w:space="0" w:color="000000"/>
              <w:right w:val="single" w:sz="4" w:space="0" w:color="000000"/>
            </w:tcBorders>
            <w:vAlign w:val="center"/>
          </w:tcPr>
          <w:p w14:paraId="1DEED59A" w14:textId="77777777" w:rsidR="00095A92" w:rsidRPr="00D31C8C" w:rsidRDefault="00095A92">
            <w:pPr>
              <w:ind w:left="4"/>
              <w:rPr>
                <w:rFonts w:ascii="Titillium" w:hAnsi="Titillium"/>
                <w:sz w:val="16"/>
                <w:szCs w:val="16"/>
              </w:rPr>
            </w:pPr>
            <w:r w:rsidRPr="00D31C8C">
              <w:rPr>
                <w:rFonts w:ascii="Titillium" w:eastAsia="Times New Roman" w:hAnsi="Titillium" w:cs="Times New Roman"/>
                <w:sz w:val="16"/>
                <w:szCs w:val="16"/>
              </w:rPr>
              <w:t xml:space="preserve">Dostęp do drogi publicznej </w:t>
            </w:r>
          </w:p>
        </w:tc>
        <w:tc>
          <w:tcPr>
            <w:tcW w:w="3639" w:type="dxa"/>
            <w:tcBorders>
              <w:top w:val="single" w:sz="4" w:space="0" w:color="000000"/>
              <w:left w:val="single" w:sz="4" w:space="0" w:color="000000"/>
              <w:bottom w:val="single" w:sz="4" w:space="0" w:color="000000"/>
              <w:right w:val="single" w:sz="4" w:space="0" w:color="000000"/>
            </w:tcBorders>
            <w:vAlign w:val="center"/>
          </w:tcPr>
          <w:p w14:paraId="6E8531C9" w14:textId="5DB85552" w:rsidR="00095A92" w:rsidRPr="00756984" w:rsidRDefault="00095A92">
            <w:pPr>
              <w:ind w:left="2"/>
              <w:rPr>
                <w:rFonts w:ascii="Titillium" w:hAnsi="Titillium"/>
                <w:bCs/>
                <w:sz w:val="16"/>
                <w:szCs w:val="16"/>
              </w:rPr>
            </w:pPr>
            <w:r w:rsidRPr="00756984">
              <w:rPr>
                <w:rFonts w:ascii="Titillium" w:eastAsia="Calibri" w:hAnsi="Titillium" w:cs="Calibri"/>
                <w:b/>
                <w:sz w:val="16"/>
                <w:szCs w:val="16"/>
              </w:rPr>
              <w:t xml:space="preserve"> </w:t>
            </w:r>
            <w:r w:rsidR="009174EF" w:rsidRPr="00756984">
              <w:rPr>
                <w:rFonts w:ascii="Titillium" w:eastAsia="Calibri" w:hAnsi="Titillium" w:cs="Calibri"/>
                <w:bCs/>
                <w:sz w:val="16"/>
                <w:szCs w:val="16"/>
              </w:rPr>
              <w:t>tak</w:t>
            </w:r>
          </w:p>
        </w:tc>
      </w:tr>
      <w:tr w:rsidR="00756984" w:rsidRPr="00756984" w14:paraId="7C9D55E2" w14:textId="77777777" w:rsidTr="00BE00CC">
        <w:trPr>
          <w:trHeight w:val="1227"/>
        </w:trPr>
        <w:tc>
          <w:tcPr>
            <w:tcW w:w="29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2EBA15" w14:textId="77777777" w:rsidR="00095A92" w:rsidRPr="00D31C8C" w:rsidRDefault="00095A92">
            <w:pPr>
              <w:ind w:right="213"/>
              <w:rPr>
                <w:rFonts w:ascii="Titillium" w:hAnsi="Titillium"/>
                <w:sz w:val="16"/>
                <w:szCs w:val="16"/>
              </w:rPr>
            </w:pPr>
            <w:r w:rsidRPr="00D31C8C">
              <w:rPr>
                <w:rFonts w:ascii="Titillium" w:eastAsia="Times New Roman" w:hAnsi="Titillium" w:cs="Times New Roman"/>
                <w:sz w:val="16"/>
                <w:szCs w:val="16"/>
              </w:rPr>
              <w:lastRenderedPageBreak/>
              <w:t xml:space="preserve">Określenie usytuowania lokalu mieszkalnego w budynku, jeżeli przedsięwzięcie deweloperskie lub zadanie inwestycyjne dotyczy lokali mieszkalnych </w:t>
            </w:r>
          </w:p>
        </w:tc>
        <w:tc>
          <w:tcPr>
            <w:tcW w:w="6710" w:type="dxa"/>
            <w:gridSpan w:val="2"/>
            <w:tcBorders>
              <w:top w:val="single" w:sz="4" w:space="0" w:color="000000"/>
              <w:left w:val="single" w:sz="4" w:space="0" w:color="000000"/>
              <w:bottom w:val="single" w:sz="4" w:space="0" w:color="000000"/>
              <w:right w:val="single" w:sz="4" w:space="0" w:color="000000"/>
            </w:tcBorders>
          </w:tcPr>
          <w:p w14:paraId="03A56EEE" w14:textId="583E2FB4" w:rsidR="00095A92" w:rsidRPr="00756984" w:rsidRDefault="009174EF">
            <w:pPr>
              <w:ind w:left="4"/>
              <w:rPr>
                <w:rFonts w:ascii="Titillium" w:hAnsi="Titillium"/>
                <w:bCs/>
                <w:sz w:val="16"/>
                <w:szCs w:val="16"/>
              </w:rPr>
            </w:pPr>
            <w:r w:rsidRPr="00756984">
              <w:rPr>
                <w:rFonts w:ascii="Titillium" w:eastAsia="Calibri" w:hAnsi="Titillium" w:cs="Calibri"/>
                <w:bCs/>
                <w:sz w:val="16"/>
                <w:szCs w:val="16"/>
              </w:rPr>
              <w:t>Określenie usytuowania lokalu mieszkalnego zgodnie z Załącznikiem nr 1 - Rzut kondygnacji z zaznaczeniem lokalu mieszkalnego</w:t>
            </w:r>
          </w:p>
        </w:tc>
      </w:tr>
      <w:tr w:rsidR="00756984" w:rsidRPr="00756984" w14:paraId="1C29B5D6" w14:textId="77777777" w:rsidTr="009174EF">
        <w:tblPrEx>
          <w:tblCellMar>
            <w:top w:w="0" w:type="dxa"/>
            <w:right w:w="74" w:type="dxa"/>
          </w:tblCellMar>
        </w:tblPrEx>
        <w:trPr>
          <w:trHeight w:val="1449"/>
        </w:trPr>
        <w:tc>
          <w:tcPr>
            <w:tcW w:w="29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8A6578" w14:textId="77777777" w:rsidR="00095A92" w:rsidRPr="00D31C8C" w:rsidRDefault="00095A92">
            <w:pPr>
              <w:ind w:right="104"/>
              <w:rPr>
                <w:rFonts w:ascii="Titillium" w:hAnsi="Titillium"/>
                <w:sz w:val="16"/>
                <w:szCs w:val="16"/>
              </w:rPr>
            </w:pPr>
            <w:r w:rsidRPr="00D31C8C">
              <w:rPr>
                <w:rFonts w:ascii="Titillium" w:eastAsia="Times New Roman" w:hAnsi="Titillium" w:cs="Times New Roman"/>
                <w:sz w:val="16"/>
                <w:szCs w:val="16"/>
              </w:rPr>
              <w:t xml:space="preserve">Określenie powierzchni użytkowej i układu pomieszczeń oraz zakresu i standardu prac wykończeniowych, do których wykonania zobowiązuje </w:t>
            </w:r>
          </w:p>
          <w:p w14:paraId="7363848F" w14:textId="77777777" w:rsidR="00095A92" w:rsidRPr="00D31C8C" w:rsidRDefault="00095A92">
            <w:pPr>
              <w:rPr>
                <w:rFonts w:ascii="Titillium" w:hAnsi="Titillium"/>
                <w:sz w:val="16"/>
                <w:szCs w:val="16"/>
              </w:rPr>
            </w:pPr>
            <w:r w:rsidRPr="00D31C8C">
              <w:rPr>
                <w:rFonts w:ascii="Titillium" w:eastAsia="Times New Roman" w:hAnsi="Titillium" w:cs="Times New Roman"/>
                <w:sz w:val="16"/>
                <w:szCs w:val="16"/>
              </w:rPr>
              <w:t xml:space="preserve">się deweloper </w:t>
            </w:r>
          </w:p>
        </w:tc>
        <w:tc>
          <w:tcPr>
            <w:tcW w:w="6709" w:type="dxa"/>
            <w:gridSpan w:val="2"/>
            <w:tcBorders>
              <w:top w:val="single" w:sz="4" w:space="0" w:color="000000"/>
              <w:left w:val="single" w:sz="4" w:space="0" w:color="000000"/>
              <w:bottom w:val="single" w:sz="4" w:space="0" w:color="000000"/>
              <w:right w:val="single" w:sz="4" w:space="0" w:color="000000"/>
            </w:tcBorders>
          </w:tcPr>
          <w:p w14:paraId="2D446F55" w14:textId="4346E1BD" w:rsidR="00A5507C" w:rsidRPr="00AD0663" w:rsidRDefault="009174EF" w:rsidP="009174EF">
            <w:pPr>
              <w:rPr>
                <w:rFonts w:ascii="Titillium" w:hAnsi="Titillium"/>
                <w:sz w:val="16"/>
                <w:szCs w:val="16"/>
              </w:rPr>
            </w:pPr>
            <w:r w:rsidRPr="00AD0663">
              <w:rPr>
                <w:rFonts w:ascii="Titillium" w:hAnsi="Titillium"/>
                <w:sz w:val="16"/>
                <w:szCs w:val="16"/>
              </w:rPr>
              <w:t xml:space="preserve">Określenie powierzchni i układu pomieszczeń zgodnie z Załącznikiem nr </w:t>
            </w:r>
            <w:r w:rsidR="00A5507C" w:rsidRPr="00AD0663">
              <w:rPr>
                <w:rFonts w:ascii="Titillium" w:hAnsi="Titillium"/>
                <w:sz w:val="16"/>
                <w:szCs w:val="16"/>
              </w:rPr>
              <w:t>1</w:t>
            </w:r>
            <w:r w:rsidR="00C464FC" w:rsidRPr="00AD0663">
              <w:rPr>
                <w:rFonts w:ascii="Titillium" w:hAnsi="Titillium"/>
                <w:sz w:val="16"/>
                <w:szCs w:val="16"/>
              </w:rPr>
              <w:t>.</w:t>
            </w:r>
            <w:r w:rsidR="00A5507C" w:rsidRPr="00AD0663">
              <w:rPr>
                <w:rFonts w:ascii="Titillium" w:hAnsi="Titillium"/>
                <w:sz w:val="16"/>
                <w:szCs w:val="16"/>
              </w:rPr>
              <w:t xml:space="preserve"> </w:t>
            </w:r>
          </w:p>
          <w:p w14:paraId="4113BEC0" w14:textId="7AB290F4" w:rsidR="009174EF" w:rsidRPr="00AD0663" w:rsidRDefault="009174EF" w:rsidP="009174EF">
            <w:pPr>
              <w:rPr>
                <w:rFonts w:ascii="Titillium" w:hAnsi="Titillium"/>
                <w:sz w:val="16"/>
                <w:szCs w:val="16"/>
              </w:rPr>
            </w:pPr>
            <w:r w:rsidRPr="00AD0663">
              <w:rPr>
                <w:rFonts w:ascii="Titillium" w:hAnsi="Titillium"/>
                <w:sz w:val="16"/>
                <w:szCs w:val="16"/>
              </w:rPr>
              <w:t xml:space="preserve">Standard prac wykończeniowych </w:t>
            </w:r>
            <w:r w:rsidR="00674B45" w:rsidRPr="00AD0663">
              <w:rPr>
                <w:rFonts w:ascii="Titillium" w:hAnsi="Titillium"/>
                <w:sz w:val="16"/>
                <w:szCs w:val="16"/>
              </w:rPr>
              <w:t>w garażu:</w:t>
            </w:r>
          </w:p>
          <w:p w14:paraId="4A80C8FA" w14:textId="1D1CB8A5" w:rsidR="0063649D" w:rsidRPr="00AD0663" w:rsidRDefault="0063649D" w:rsidP="009174EF">
            <w:pPr>
              <w:rPr>
                <w:rFonts w:ascii="Titillium" w:hAnsi="Titillium"/>
                <w:sz w:val="16"/>
                <w:szCs w:val="16"/>
              </w:rPr>
            </w:pPr>
            <w:r w:rsidRPr="00AD0663">
              <w:rPr>
                <w:rFonts w:ascii="Titillium" w:hAnsi="Titillium"/>
                <w:sz w:val="16"/>
                <w:szCs w:val="16"/>
              </w:rPr>
              <w:t>- w garażu na poziomie -</w:t>
            </w:r>
            <w:r w:rsidR="009148B6" w:rsidRPr="00AD0663">
              <w:rPr>
                <w:rFonts w:ascii="Titillium" w:hAnsi="Titillium"/>
                <w:sz w:val="16"/>
                <w:szCs w:val="16"/>
              </w:rPr>
              <w:t>2</w:t>
            </w:r>
            <w:r w:rsidRPr="00AD0663">
              <w:rPr>
                <w:rFonts w:ascii="Titillium" w:hAnsi="Titillium"/>
                <w:sz w:val="16"/>
                <w:szCs w:val="16"/>
              </w:rPr>
              <w:t xml:space="preserve"> </w:t>
            </w:r>
            <w:r w:rsidR="00EF64C4">
              <w:rPr>
                <w:rFonts w:ascii="Titillium" w:hAnsi="Titillium"/>
                <w:sz w:val="16"/>
                <w:szCs w:val="16"/>
              </w:rPr>
              <w:t xml:space="preserve">- </w:t>
            </w:r>
            <w:r w:rsidRPr="00AD0663">
              <w:rPr>
                <w:rFonts w:ascii="Titillium" w:hAnsi="Titillium"/>
                <w:sz w:val="16"/>
                <w:szCs w:val="16"/>
              </w:rPr>
              <w:t>posadzka przemysłowa,</w:t>
            </w:r>
          </w:p>
          <w:p w14:paraId="481D80EA" w14:textId="5E4E8C65" w:rsidR="0080081F" w:rsidRPr="002F7CD5" w:rsidRDefault="0080081F" w:rsidP="0080081F">
            <w:pPr>
              <w:jc w:val="both"/>
              <w:rPr>
                <w:rFonts w:ascii="Titillium" w:hAnsi="Titillium"/>
                <w:sz w:val="16"/>
                <w:szCs w:val="16"/>
              </w:rPr>
            </w:pPr>
            <w:r w:rsidRPr="002F7CD5">
              <w:rPr>
                <w:rFonts w:ascii="Titillium" w:hAnsi="Titillium"/>
                <w:sz w:val="16"/>
                <w:szCs w:val="16"/>
              </w:rPr>
              <w:t>- w garażu na poziomie -1 oraz na</w:t>
            </w:r>
            <w:r w:rsidR="00D10C4C">
              <w:rPr>
                <w:rFonts w:ascii="Titillium" w:hAnsi="Titillium"/>
                <w:sz w:val="16"/>
                <w:szCs w:val="16"/>
              </w:rPr>
              <w:t xml:space="preserve"> poziomie</w:t>
            </w:r>
            <w:r w:rsidR="00EF64C4">
              <w:rPr>
                <w:rFonts w:ascii="Titillium" w:hAnsi="Titillium"/>
                <w:sz w:val="16"/>
                <w:szCs w:val="16"/>
              </w:rPr>
              <w:t xml:space="preserve"> parteru -</w:t>
            </w:r>
            <w:r w:rsidR="00D10C4C">
              <w:rPr>
                <w:rFonts w:ascii="Titillium" w:hAnsi="Titillium"/>
                <w:sz w:val="16"/>
                <w:szCs w:val="16"/>
              </w:rPr>
              <w:t xml:space="preserve"> </w:t>
            </w:r>
            <w:r w:rsidR="0060285C">
              <w:rPr>
                <w:rFonts w:ascii="Titillium" w:hAnsi="Titillium"/>
                <w:sz w:val="16"/>
                <w:szCs w:val="16"/>
              </w:rPr>
              <w:t>beton</w:t>
            </w:r>
            <w:r w:rsidR="00EF64C4">
              <w:rPr>
                <w:rFonts w:ascii="Titillium" w:hAnsi="Titillium"/>
                <w:sz w:val="16"/>
                <w:szCs w:val="16"/>
              </w:rPr>
              <w:t>/strop</w:t>
            </w:r>
          </w:p>
          <w:p w14:paraId="00771399" w14:textId="627B649C" w:rsidR="0063649D" w:rsidRPr="00AD0663" w:rsidRDefault="0063649D" w:rsidP="009174EF">
            <w:pPr>
              <w:rPr>
                <w:rFonts w:ascii="Titillium" w:hAnsi="Titillium"/>
                <w:sz w:val="16"/>
                <w:szCs w:val="16"/>
              </w:rPr>
            </w:pPr>
            <w:r w:rsidRPr="00AD0663">
              <w:rPr>
                <w:rFonts w:ascii="Titillium" w:hAnsi="Titillium"/>
                <w:sz w:val="16"/>
                <w:szCs w:val="16"/>
              </w:rPr>
              <w:t>- ściany żelbetowe</w:t>
            </w:r>
            <w:r w:rsidR="00C464FC" w:rsidRPr="00AD0663">
              <w:rPr>
                <w:rFonts w:ascii="Titillium" w:hAnsi="Titillium"/>
                <w:sz w:val="16"/>
                <w:szCs w:val="16"/>
              </w:rPr>
              <w:t xml:space="preserve"> nieotynkowane</w:t>
            </w:r>
            <w:r w:rsidRPr="00AD0663">
              <w:rPr>
                <w:rFonts w:ascii="Titillium" w:hAnsi="Titillium"/>
                <w:sz w:val="16"/>
                <w:szCs w:val="16"/>
              </w:rPr>
              <w:t>,</w:t>
            </w:r>
          </w:p>
          <w:p w14:paraId="2E2BCF8F" w14:textId="50A6CDA3" w:rsidR="0063649D" w:rsidRPr="00AD0663" w:rsidRDefault="0063649D" w:rsidP="009174EF">
            <w:pPr>
              <w:rPr>
                <w:rFonts w:ascii="Titillium" w:hAnsi="Titillium"/>
                <w:sz w:val="16"/>
                <w:szCs w:val="16"/>
              </w:rPr>
            </w:pPr>
            <w:r w:rsidRPr="00AD0663">
              <w:rPr>
                <w:rFonts w:ascii="Titillium" w:hAnsi="Titillium"/>
                <w:sz w:val="16"/>
                <w:szCs w:val="16"/>
              </w:rPr>
              <w:t>- stropy żelbetowe,</w:t>
            </w:r>
          </w:p>
          <w:p w14:paraId="368B32A0" w14:textId="1D746727" w:rsidR="0063649D" w:rsidRPr="00AD0663" w:rsidRDefault="0063649D" w:rsidP="009174EF">
            <w:pPr>
              <w:rPr>
                <w:rFonts w:ascii="Titillium" w:hAnsi="Titillium"/>
                <w:sz w:val="16"/>
                <w:szCs w:val="16"/>
              </w:rPr>
            </w:pPr>
            <w:r w:rsidRPr="00AD0663">
              <w:rPr>
                <w:rFonts w:ascii="Titillium" w:hAnsi="Titillium"/>
                <w:sz w:val="16"/>
                <w:szCs w:val="16"/>
              </w:rPr>
              <w:t>- izolacja cieplna stropu garażu pod częścią mieszkalną wg projektu,</w:t>
            </w:r>
          </w:p>
          <w:p w14:paraId="3BA736D9" w14:textId="5250B4A9" w:rsidR="00756984" w:rsidRPr="00AD0663" w:rsidRDefault="00756984" w:rsidP="009174EF">
            <w:pPr>
              <w:rPr>
                <w:rFonts w:ascii="Titillium" w:hAnsi="Titillium"/>
                <w:sz w:val="16"/>
                <w:szCs w:val="16"/>
              </w:rPr>
            </w:pPr>
            <w:r w:rsidRPr="00AD0663">
              <w:rPr>
                <w:rFonts w:ascii="Titillium" w:hAnsi="Titillium"/>
                <w:sz w:val="16"/>
                <w:szCs w:val="16"/>
              </w:rPr>
              <w:t>- ściany piwnic</w:t>
            </w:r>
            <w:r w:rsidR="00EF64C4">
              <w:rPr>
                <w:rFonts w:ascii="Titillium" w:hAnsi="Titillium"/>
                <w:sz w:val="16"/>
                <w:szCs w:val="16"/>
              </w:rPr>
              <w:t xml:space="preserve">, boksów </w:t>
            </w:r>
            <w:proofErr w:type="spellStart"/>
            <w:r w:rsidR="00EF64C4">
              <w:rPr>
                <w:rFonts w:ascii="Titillium" w:hAnsi="Titillium"/>
                <w:sz w:val="16"/>
                <w:szCs w:val="16"/>
              </w:rPr>
              <w:t>garazowych</w:t>
            </w:r>
            <w:proofErr w:type="spellEnd"/>
            <w:r w:rsidRPr="00AD0663">
              <w:rPr>
                <w:rFonts w:ascii="Titillium" w:hAnsi="Titillium"/>
                <w:sz w:val="16"/>
                <w:szCs w:val="16"/>
              </w:rPr>
              <w:t xml:space="preserve"> ażurowe,</w:t>
            </w:r>
          </w:p>
          <w:p w14:paraId="72EC0662" w14:textId="5E201986" w:rsidR="00674B45" w:rsidRPr="00AD0663" w:rsidRDefault="00674B45" w:rsidP="009174EF">
            <w:pPr>
              <w:rPr>
                <w:rFonts w:ascii="Titillium" w:hAnsi="Titillium"/>
                <w:sz w:val="16"/>
                <w:szCs w:val="16"/>
              </w:rPr>
            </w:pPr>
            <w:r w:rsidRPr="00AD0663">
              <w:rPr>
                <w:rFonts w:ascii="Titillium" w:hAnsi="Titillium"/>
                <w:sz w:val="16"/>
                <w:szCs w:val="16"/>
              </w:rPr>
              <w:t>- w piwnicach i garażach mogą występować elementy instalacji technicznej budynku (np. rury instalacji centralnego ogrzewania, rury wodociągowe, wentylacyjne i inne).</w:t>
            </w:r>
          </w:p>
          <w:p w14:paraId="5C515840" w14:textId="532CF22E" w:rsidR="00674B45" w:rsidRPr="00AD0663" w:rsidRDefault="00674B45" w:rsidP="009174EF">
            <w:pPr>
              <w:rPr>
                <w:rFonts w:ascii="Titillium" w:hAnsi="Titillium"/>
                <w:sz w:val="16"/>
                <w:szCs w:val="16"/>
              </w:rPr>
            </w:pPr>
            <w:r w:rsidRPr="00AD0663">
              <w:rPr>
                <w:rFonts w:ascii="Titillium" w:hAnsi="Titillium"/>
                <w:sz w:val="16"/>
                <w:szCs w:val="16"/>
              </w:rPr>
              <w:t>Standard prac wykończeniowych w mieszkaniach:</w:t>
            </w:r>
          </w:p>
          <w:p w14:paraId="2D89B600" w14:textId="08A2E1EF" w:rsidR="009174EF" w:rsidRPr="00AD0663" w:rsidRDefault="009174EF" w:rsidP="009174EF">
            <w:pPr>
              <w:rPr>
                <w:rFonts w:ascii="Titillium" w:hAnsi="Titillium"/>
                <w:sz w:val="16"/>
                <w:szCs w:val="16"/>
              </w:rPr>
            </w:pPr>
            <w:r w:rsidRPr="00AD0663">
              <w:rPr>
                <w:rFonts w:ascii="Titillium" w:hAnsi="Titillium"/>
                <w:sz w:val="16"/>
                <w:szCs w:val="16"/>
              </w:rPr>
              <w:t>- ściany działowe bez ościeżnic</w:t>
            </w:r>
            <w:r w:rsidR="00C464FC" w:rsidRPr="00AD0663">
              <w:rPr>
                <w:rFonts w:ascii="Titillium" w:hAnsi="Titillium"/>
                <w:sz w:val="16"/>
                <w:szCs w:val="16"/>
              </w:rPr>
              <w:t>,</w:t>
            </w:r>
          </w:p>
          <w:p w14:paraId="1717E735" w14:textId="36ACA2E4" w:rsidR="009174EF" w:rsidRPr="00AD0663" w:rsidRDefault="009174EF" w:rsidP="009174EF">
            <w:pPr>
              <w:rPr>
                <w:rFonts w:ascii="Titillium" w:hAnsi="Titillium"/>
                <w:sz w:val="16"/>
                <w:szCs w:val="16"/>
              </w:rPr>
            </w:pPr>
            <w:r w:rsidRPr="00AD0663">
              <w:rPr>
                <w:rFonts w:ascii="Titillium" w:hAnsi="Titillium"/>
                <w:sz w:val="16"/>
                <w:szCs w:val="16"/>
              </w:rPr>
              <w:t>- stolarka okienna</w:t>
            </w:r>
            <w:r w:rsidR="00C464FC" w:rsidRPr="00AD0663">
              <w:rPr>
                <w:rFonts w:ascii="Titillium" w:hAnsi="Titillium"/>
                <w:sz w:val="16"/>
                <w:szCs w:val="16"/>
              </w:rPr>
              <w:t>,</w:t>
            </w:r>
          </w:p>
          <w:p w14:paraId="0B0DA17E" w14:textId="133AE474" w:rsidR="009174EF" w:rsidRPr="00AD0663" w:rsidRDefault="009174EF" w:rsidP="009174EF">
            <w:pPr>
              <w:rPr>
                <w:rFonts w:ascii="Titillium" w:hAnsi="Titillium"/>
                <w:sz w:val="16"/>
                <w:szCs w:val="16"/>
              </w:rPr>
            </w:pPr>
            <w:r w:rsidRPr="00AD0663">
              <w:rPr>
                <w:rFonts w:ascii="Titillium" w:hAnsi="Titillium"/>
                <w:sz w:val="16"/>
                <w:szCs w:val="16"/>
              </w:rPr>
              <w:t>- tynki gipsowe ścian i pocienione sufitów</w:t>
            </w:r>
            <w:r w:rsidR="00C464FC" w:rsidRPr="00AD0663">
              <w:rPr>
                <w:rFonts w:ascii="Titillium" w:hAnsi="Titillium"/>
                <w:sz w:val="16"/>
                <w:szCs w:val="16"/>
              </w:rPr>
              <w:t>,</w:t>
            </w:r>
          </w:p>
          <w:p w14:paraId="24F90BF5" w14:textId="555AE57F" w:rsidR="009174EF" w:rsidRPr="00AD0663" w:rsidRDefault="009174EF" w:rsidP="009174EF">
            <w:pPr>
              <w:rPr>
                <w:rFonts w:ascii="Titillium" w:hAnsi="Titillium"/>
                <w:sz w:val="16"/>
                <w:szCs w:val="16"/>
              </w:rPr>
            </w:pPr>
            <w:r w:rsidRPr="00AD0663">
              <w:rPr>
                <w:rFonts w:ascii="Titillium" w:hAnsi="Titillium"/>
                <w:sz w:val="16"/>
                <w:szCs w:val="16"/>
              </w:rPr>
              <w:t>- podłoża betonowe pod posadzki</w:t>
            </w:r>
            <w:r w:rsidR="00C464FC" w:rsidRPr="00AD0663">
              <w:rPr>
                <w:rFonts w:ascii="Titillium" w:hAnsi="Titillium"/>
                <w:sz w:val="16"/>
                <w:szCs w:val="16"/>
              </w:rPr>
              <w:t>,</w:t>
            </w:r>
          </w:p>
          <w:p w14:paraId="014C7DCA" w14:textId="1B230B30" w:rsidR="009174EF" w:rsidRPr="00AD0663" w:rsidRDefault="009174EF" w:rsidP="009174EF">
            <w:pPr>
              <w:rPr>
                <w:rFonts w:ascii="Titillium" w:hAnsi="Titillium"/>
                <w:sz w:val="16"/>
                <w:szCs w:val="16"/>
              </w:rPr>
            </w:pPr>
            <w:r w:rsidRPr="00AD0663">
              <w:rPr>
                <w:rFonts w:ascii="Titillium" w:hAnsi="Titillium"/>
                <w:sz w:val="16"/>
                <w:szCs w:val="16"/>
              </w:rPr>
              <w:t>- podokienniki z konglomeratu</w:t>
            </w:r>
            <w:r w:rsidR="00C464FC" w:rsidRPr="00AD0663">
              <w:rPr>
                <w:rFonts w:ascii="Titillium" w:hAnsi="Titillium"/>
                <w:sz w:val="16"/>
                <w:szCs w:val="16"/>
              </w:rPr>
              <w:t>,</w:t>
            </w:r>
          </w:p>
          <w:p w14:paraId="6E82624E" w14:textId="7F81E46C" w:rsidR="009174EF" w:rsidRPr="00AD0663" w:rsidRDefault="009174EF" w:rsidP="009174EF">
            <w:pPr>
              <w:rPr>
                <w:rFonts w:ascii="Titillium" w:hAnsi="Titillium"/>
                <w:sz w:val="16"/>
                <w:szCs w:val="16"/>
              </w:rPr>
            </w:pPr>
            <w:r w:rsidRPr="00AD0663">
              <w:rPr>
                <w:rFonts w:ascii="Titillium" w:hAnsi="Titillium"/>
                <w:sz w:val="16"/>
                <w:szCs w:val="16"/>
              </w:rPr>
              <w:t>- drzwi wejściowe wzmocnione</w:t>
            </w:r>
            <w:r w:rsidR="00C464FC" w:rsidRPr="00AD0663">
              <w:rPr>
                <w:rFonts w:ascii="Titillium" w:hAnsi="Titillium"/>
                <w:sz w:val="16"/>
                <w:szCs w:val="16"/>
              </w:rPr>
              <w:t>,</w:t>
            </w:r>
          </w:p>
          <w:p w14:paraId="1B0245D2" w14:textId="3524F02E" w:rsidR="009174EF" w:rsidRPr="00AD0663" w:rsidRDefault="009174EF" w:rsidP="009174EF">
            <w:pPr>
              <w:rPr>
                <w:rFonts w:ascii="Titillium" w:hAnsi="Titillium"/>
                <w:sz w:val="16"/>
                <w:szCs w:val="16"/>
              </w:rPr>
            </w:pPr>
            <w:r w:rsidRPr="00AD0663">
              <w:rPr>
                <w:rFonts w:ascii="Titillium" w:hAnsi="Titillium"/>
                <w:sz w:val="16"/>
                <w:szCs w:val="16"/>
              </w:rPr>
              <w:t>- instalacja wewnętrzna centralnego ogrzewania wraz z licznikami ciepła</w:t>
            </w:r>
            <w:r w:rsidR="00C464FC" w:rsidRPr="00AD0663">
              <w:rPr>
                <w:rFonts w:ascii="Titillium" w:hAnsi="Titillium"/>
                <w:sz w:val="16"/>
                <w:szCs w:val="16"/>
              </w:rPr>
              <w:t>,</w:t>
            </w:r>
          </w:p>
          <w:p w14:paraId="413D557E" w14:textId="1018207C" w:rsidR="009174EF" w:rsidRPr="00AD0663" w:rsidRDefault="009174EF" w:rsidP="009174EF">
            <w:pPr>
              <w:rPr>
                <w:rFonts w:ascii="Titillium" w:hAnsi="Titillium"/>
                <w:sz w:val="16"/>
                <w:szCs w:val="16"/>
              </w:rPr>
            </w:pPr>
            <w:r w:rsidRPr="00AD0663">
              <w:rPr>
                <w:rFonts w:ascii="Titillium" w:hAnsi="Titillium"/>
                <w:sz w:val="16"/>
                <w:szCs w:val="16"/>
              </w:rPr>
              <w:t>- instalacja zimnej i ciepłej wody, bez rur odpływowych, z licznikami, bez urządzeń</w:t>
            </w:r>
            <w:r w:rsidR="00D65784" w:rsidRPr="00AD0663">
              <w:rPr>
                <w:rFonts w:ascii="Titillium" w:hAnsi="Titillium"/>
                <w:sz w:val="16"/>
                <w:szCs w:val="16"/>
              </w:rPr>
              <w:t xml:space="preserve"> </w:t>
            </w:r>
            <w:r w:rsidR="00C464FC" w:rsidRPr="00AD0663">
              <w:rPr>
                <w:rFonts w:ascii="Titillium" w:hAnsi="Titillium"/>
                <w:sz w:val="16"/>
                <w:szCs w:val="16"/>
              </w:rPr>
              <w:t xml:space="preserve">- </w:t>
            </w:r>
            <w:r w:rsidR="00D65784" w:rsidRPr="00AD0663">
              <w:rPr>
                <w:rFonts w:ascii="Titillium" w:hAnsi="Titillium"/>
                <w:sz w:val="16"/>
                <w:szCs w:val="16"/>
              </w:rPr>
              <w:t>prowadzona natynkowo</w:t>
            </w:r>
            <w:r w:rsidR="00C464FC" w:rsidRPr="00AD0663">
              <w:rPr>
                <w:rFonts w:ascii="Titillium" w:hAnsi="Titillium"/>
                <w:sz w:val="16"/>
                <w:szCs w:val="16"/>
              </w:rPr>
              <w:t>,</w:t>
            </w:r>
          </w:p>
          <w:p w14:paraId="561F8068" w14:textId="6937A195" w:rsidR="00D65784" w:rsidRPr="00AD0663" w:rsidRDefault="00D65784" w:rsidP="009174EF">
            <w:pPr>
              <w:rPr>
                <w:rFonts w:ascii="Titillium" w:hAnsi="Titillium"/>
                <w:sz w:val="16"/>
                <w:szCs w:val="16"/>
              </w:rPr>
            </w:pPr>
            <w:r w:rsidRPr="00AD0663">
              <w:rPr>
                <w:rFonts w:ascii="Titillium" w:hAnsi="Titillium"/>
                <w:sz w:val="16"/>
                <w:szCs w:val="16"/>
              </w:rPr>
              <w:t>- piony kanalizacyjne z trójnikami przygotowanymi do podłączenia odpływów,</w:t>
            </w:r>
          </w:p>
          <w:p w14:paraId="69059232" w14:textId="651EF2BE" w:rsidR="009174EF" w:rsidRPr="00AD0663" w:rsidRDefault="009174EF" w:rsidP="009174EF">
            <w:pPr>
              <w:rPr>
                <w:rFonts w:ascii="Titillium" w:hAnsi="Titillium"/>
                <w:sz w:val="16"/>
                <w:szCs w:val="16"/>
              </w:rPr>
            </w:pPr>
            <w:r w:rsidRPr="00AD0663">
              <w:rPr>
                <w:rFonts w:ascii="Titillium" w:hAnsi="Titillium"/>
                <w:sz w:val="16"/>
                <w:szCs w:val="16"/>
              </w:rPr>
              <w:t>- wewnętrzna instalacja elektryczna do montażu kuchenki elektrycznej (bez kuchenki elektrycznej)</w:t>
            </w:r>
            <w:r w:rsidR="00C464FC" w:rsidRPr="00AD0663">
              <w:rPr>
                <w:rFonts w:ascii="Titillium" w:hAnsi="Titillium"/>
                <w:sz w:val="16"/>
                <w:szCs w:val="16"/>
              </w:rPr>
              <w:t>,</w:t>
            </w:r>
          </w:p>
          <w:p w14:paraId="15C676B0" w14:textId="6F5361A6" w:rsidR="009174EF" w:rsidRPr="00AD0663" w:rsidRDefault="009174EF" w:rsidP="009174EF">
            <w:pPr>
              <w:rPr>
                <w:rFonts w:ascii="Titillium" w:hAnsi="Titillium"/>
                <w:sz w:val="16"/>
                <w:szCs w:val="16"/>
              </w:rPr>
            </w:pPr>
            <w:r w:rsidRPr="00AD0663">
              <w:rPr>
                <w:rFonts w:ascii="Titillium" w:hAnsi="Titillium"/>
                <w:sz w:val="16"/>
                <w:szCs w:val="16"/>
              </w:rPr>
              <w:t>- wewnętrzne instalacje elektryczne</w:t>
            </w:r>
            <w:r w:rsidR="00C464FC" w:rsidRPr="00AD0663">
              <w:rPr>
                <w:rFonts w:ascii="Titillium" w:hAnsi="Titillium"/>
                <w:sz w:val="16"/>
                <w:szCs w:val="16"/>
              </w:rPr>
              <w:t>,</w:t>
            </w:r>
          </w:p>
          <w:p w14:paraId="79C3EE57" w14:textId="6CD61C75" w:rsidR="009174EF" w:rsidRPr="00AD0663" w:rsidRDefault="009174EF" w:rsidP="009174EF">
            <w:pPr>
              <w:rPr>
                <w:rFonts w:ascii="Titillium" w:hAnsi="Titillium"/>
                <w:sz w:val="16"/>
                <w:szCs w:val="16"/>
              </w:rPr>
            </w:pPr>
            <w:r w:rsidRPr="00AD0663">
              <w:rPr>
                <w:rFonts w:ascii="Titillium" w:hAnsi="Titillium"/>
                <w:sz w:val="16"/>
                <w:szCs w:val="16"/>
              </w:rPr>
              <w:t>- wewnętrzna instalacja telewizyjna, internetowa</w:t>
            </w:r>
            <w:r w:rsidR="00C464FC" w:rsidRPr="00AD0663">
              <w:rPr>
                <w:rFonts w:ascii="Titillium" w:hAnsi="Titillium"/>
                <w:sz w:val="16"/>
                <w:szCs w:val="16"/>
              </w:rPr>
              <w:t>,</w:t>
            </w:r>
          </w:p>
          <w:p w14:paraId="6C9B667B" w14:textId="1250C2EF" w:rsidR="009174EF" w:rsidRPr="00AD0663" w:rsidRDefault="009174EF" w:rsidP="009174EF">
            <w:pPr>
              <w:rPr>
                <w:rFonts w:ascii="Titillium" w:hAnsi="Titillium"/>
                <w:sz w:val="16"/>
                <w:szCs w:val="16"/>
              </w:rPr>
            </w:pPr>
            <w:r w:rsidRPr="00AD0663">
              <w:rPr>
                <w:rFonts w:ascii="Titillium" w:hAnsi="Titillium"/>
                <w:sz w:val="16"/>
                <w:szCs w:val="16"/>
              </w:rPr>
              <w:t xml:space="preserve">- wentylacja mechaniczna </w:t>
            </w:r>
            <w:r w:rsidR="00106C67" w:rsidRPr="00AD0663">
              <w:rPr>
                <w:rFonts w:ascii="Titillium" w:hAnsi="Titillium"/>
                <w:sz w:val="16"/>
                <w:szCs w:val="16"/>
              </w:rPr>
              <w:t>wywiewn</w:t>
            </w:r>
            <w:r w:rsidR="000A48D4">
              <w:rPr>
                <w:rFonts w:ascii="Titillium" w:hAnsi="Titillium"/>
                <w:sz w:val="16"/>
                <w:szCs w:val="16"/>
              </w:rPr>
              <w:t>a</w:t>
            </w:r>
            <w:r w:rsidRPr="00AD0663">
              <w:rPr>
                <w:rFonts w:ascii="Titillium" w:hAnsi="Titillium"/>
                <w:sz w:val="16"/>
                <w:szCs w:val="16"/>
              </w:rPr>
              <w:t xml:space="preserve"> mieszkań</w:t>
            </w:r>
            <w:r w:rsidR="00EF64C4">
              <w:rPr>
                <w:rFonts w:ascii="Titillium" w:hAnsi="Titillium"/>
                <w:sz w:val="16"/>
                <w:szCs w:val="16"/>
              </w:rPr>
              <w:t xml:space="preserve"> typu Helios</w:t>
            </w:r>
          </w:p>
          <w:p w14:paraId="0AC36C12" w14:textId="77777777" w:rsidR="00553D0F" w:rsidRPr="00AD0663" w:rsidRDefault="009174EF" w:rsidP="00674B45">
            <w:pPr>
              <w:rPr>
                <w:rFonts w:ascii="Titillium" w:hAnsi="Titillium"/>
                <w:sz w:val="16"/>
                <w:szCs w:val="16"/>
              </w:rPr>
            </w:pPr>
            <w:r w:rsidRPr="00AD0663">
              <w:rPr>
                <w:rFonts w:ascii="Titillium" w:hAnsi="Titillium"/>
                <w:sz w:val="16"/>
                <w:szCs w:val="16"/>
              </w:rPr>
              <w:t>- instalacja domofonowa</w:t>
            </w:r>
            <w:r w:rsidR="00106C67" w:rsidRPr="00AD0663">
              <w:rPr>
                <w:rFonts w:ascii="Titillium" w:hAnsi="Titillium"/>
                <w:sz w:val="16"/>
                <w:szCs w:val="16"/>
              </w:rPr>
              <w:t>,</w:t>
            </w:r>
          </w:p>
          <w:p w14:paraId="56881C23" w14:textId="7B91CFC3" w:rsidR="00106C67" w:rsidRPr="00AD0663" w:rsidRDefault="00106C67" w:rsidP="00106C67">
            <w:pPr>
              <w:rPr>
                <w:rFonts w:ascii="Titillium" w:hAnsi="Titillium"/>
                <w:sz w:val="16"/>
                <w:szCs w:val="16"/>
              </w:rPr>
            </w:pPr>
            <w:r w:rsidRPr="00AD0663">
              <w:rPr>
                <w:rFonts w:ascii="Titillium" w:hAnsi="Titillium"/>
                <w:sz w:val="16"/>
                <w:szCs w:val="16"/>
              </w:rPr>
              <w:t>- ściany komórek ażurowe,</w:t>
            </w:r>
          </w:p>
          <w:p w14:paraId="4BE1453B" w14:textId="3EAC4681" w:rsidR="00106C67" w:rsidRPr="00756984" w:rsidRDefault="00106C67" w:rsidP="00106C67">
            <w:pPr>
              <w:rPr>
                <w:rFonts w:ascii="Titillium" w:hAnsi="Titillium"/>
                <w:sz w:val="16"/>
                <w:szCs w:val="16"/>
              </w:rPr>
            </w:pPr>
            <w:r w:rsidRPr="00AD0663">
              <w:rPr>
                <w:rFonts w:ascii="Titillium" w:hAnsi="Titillium"/>
                <w:sz w:val="16"/>
                <w:szCs w:val="16"/>
              </w:rPr>
              <w:t>- w komórce mogą występować elementy instalacji technicznej budynku (np. rury instalacji centralnego ogrzewania, rury wodociągowe, wentylacyjne i inne).</w:t>
            </w:r>
          </w:p>
        </w:tc>
      </w:tr>
      <w:tr w:rsidR="00756984" w:rsidRPr="00756984" w14:paraId="46FAB54F" w14:textId="77777777" w:rsidTr="00BE00CC">
        <w:tblPrEx>
          <w:tblCellMar>
            <w:top w:w="0" w:type="dxa"/>
            <w:right w:w="74" w:type="dxa"/>
          </w:tblCellMar>
        </w:tblPrEx>
        <w:trPr>
          <w:trHeight w:val="764"/>
        </w:trPr>
        <w:tc>
          <w:tcPr>
            <w:tcW w:w="29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319E93" w14:textId="77777777" w:rsidR="00095A92" w:rsidRPr="00D31C8C" w:rsidRDefault="00095A92">
            <w:pPr>
              <w:ind w:right="536"/>
              <w:rPr>
                <w:rFonts w:ascii="Titillium" w:hAnsi="Titillium"/>
                <w:sz w:val="16"/>
                <w:szCs w:val="16"/>
              </w:rPr>
            </w:pPr>
            <w:r w:rsidRPr="00D31C8C">
              <w:rPr>
                <w:rFonts w:ascii="Titillium" w:eastAsia="Times New Roman" w:hAnsi="Titillium" w:cs="Times New Roman"/>
                <w:sz w:val="16"/>
                <w:szCs w:val="16"/>
              </w:rPr>
              <w:t>Data wydania zaświadczenia o samodzielności lokalu mieszkalnego</w:t>
            </w:r>
          </w:p>
        </w:tc>
        <w:tc>
          <w:tcPr>
            <w:tcW w:w="6709" w:type="dxa"/>
            <w:gridSpan w:val="2"/>
            <w:tcBorders>
              <w:top w:val="single" w:sz="4" w:space="0" w:color="000000"/>
              <w:left w:val="single" w:sz="4" w:space="0" w:color="000000"/>
              <w:bottom w:val="single" w:sz="4" w:space="0" w:color="000000"/>
              <w:right w:val="single" w:sz="4" w:space="0" w:color="000000"/>
            </w:tcBorders>
          </w:tcPr>
          <w:p w14:paraId="200F3D32" w14:textId="77777777" w:rsidR="00095A92" w:rsidRPr="00756984" w:rsidRDefault="00095A92">
            <w:pPr>
              <w:rPr>
                <w:rFonts w:ascii="Titillium" w:hAnsi="Titillium"/>
                <w:sz w:val="16"/>
                <w:szCs w:val="16"/>
              </w:rPr>
            </w:pPr>
          </w:p>
          <w:p w14:paraId="159D19FD" w14:textId="78DA6EAF" w:rsidR="00FD584C" w:rsidRPr="00756984" w:rsidRDefault="00FD584C">
            <w:pPr>
              <w:rPr>
                <w:rFonts w:ascii="Titillium" w:hAnsi="Titillium"/>
                <w:sz w:val="16"/>
                <w:szCs w:val="16"/>
              </w:rPr>
            </w:pPr>
            <w:r w:rsidRPr="00756984">
              <w:rPr>
                <w:rFonts w:ascii="Titillium" w:hAnsi="Titillium"/>
                <w:sz w:val="16"/>
                <w:szCs w:val="16"/>
              </w:rPr>
              <w:t>nie dotyczy</w:t>
            </w:r>
          </w:p>
        </w:tc>
      </w:tr>
      <w:tr w:rsidR="00756984" w:rsidRPr="00756984" w14:paraId="40A94771" w14:textId="77777777" w:rsidTr="00BE00CC">
        <w:tblPrEx>
          <w:tblCellMar>
            <w:top w:w="0" w:type="dxa"/>
            <w:right w:w="74" w:type="dxa"/>
          </w:tblCellMar>
        </w:tblPrEx>
        <w:trPr>
          <w:trHeight w:val="561"/>
        </w:trPr>
        <w:tc>
          <w:tcPr>
            <w:tcW w:w="29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0A6C98" w14:textId="77777777" w:rsidR="00095A92" w:rsidRPr="00D31C8C" w:rsidRDefault="00095A92">
            <w:pPr>
              <w:rPr>
                <w:rFonts w:ascii="Titillium" w:hAnsi="Titillium"/>
                <w:sz w:val="16"/>
                <w:szCs w:val="16"/>
              </w:rPr>
            </w:pPr>
            <w:r w:rsidRPr="00D31C8C">
              <w:rPr>
                <w:rFonts w:ascii="Titillium" w:eastAsia="Times New Roman" w:hAnsi="Titillium" w:cs="Times New Roman"/>
                <w:sz w:val="16"/>
                <w:szCs w:val="16"/>
              </w:rPr>
              <w:t xml:space="preserve">Data ustanowienia odrębnej własności lokalu mieszkalnego </w:t>
            </w:r>
          </w:p>
        </w:tc>
        <w:tc>
          <w:tcPr>
            <w:tcW w:w="6709" w:type="dxa"/>
            <w:gridSpan w:val="2"/>
            <w:tcBorders>
              <w:top w:val="single" w:sz="4" w:space="0" w:color="000000"/>
              <w:left w:val="single" w:sz="4" w:space="0" w:color="000000"/>
              <w:bottom w:val="single" w:sz="4" w:space="0" w:color="000000"/>
              <w:right w:val="single" w:sz="4" w:space="0" w:color="000000"/>
            </w:tcBorders>
          </w:tcPr>
          <w:p w14:paraId="030CBD40" w14:textId="77777777" w:rsidR="00095A92" w:rsidRPr="00756984" w:rsidRDefault="00095A92">
            <w:pPr>
              <w:rPr>
                <w:rFonts w:ascii="Titillium" w:hAnsi="Titillium"/>
                <w:sz w:val="16"/>
                <w:szCs w:val="16"/>
              </w:rPr>
            </w:pPr>
          </w:p>
          <w:p w14:paraId="79F4D556" w14:textId="600C8401" w:rsidR="00FD584C" w:rsidRPr="00756984" w:rsidRDefault="00FD584C">
            <w:pPr>
              <w:rPr>
                <w:rFonts w:ascii="Titillium" w:hAnsi="Titillium"/>
                <w:sz w:val="16"/>
                <w:szCs w:val="16"/>
              </w:rPr>
            </w:pPr>
            <w:r w:rsidRPr="00756984">
              <w:rPr>
                <w:rFonts w:ascii="Titillium" w:hAnsi="Titillium"/>
                <w:sz w:val="16"/>
                <w:szCs w:val="16"/>
              </w:rPr>
              <w:t>nie dotyczy</w:t>
            </w:r>
          </w:p>
        </w:tc>
      </w:tr>
      <w:tr w:rsidR="00756984" w:rsidRPr="00756984" w14:paraId="0B1D93D5" w14:textId="77777777" w:rsidTr="00BE00CC">
        <w:tblPrEx>
          <w:tblCellMar>
            <w:top w:w="0" w:type="dxa"/>
            <w:right w:w="74" w:type="dxa"/>
          </w:tblCellMar>
        </w:tblPrEx>
        <w:trPr>
          <w:trHeight w:val="981"/>
        </w:trPr>
        <w:tc>
          <w:tcPr>
            <w:tcW w:w="29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2695FD" w14:textId="77777777" w:rsidR="00095A92" w:rsidRPr="00D31C8C" w:rsidRDefault="00095A92">
            <w:pPr>
              <w:ind w:right="52"/>
              <w:rPr>
                <w:rFonts w:ascii="Titillium" w:hAnsi="Titillium"/>
                <w:sz w:val="16"/>
                <w:szCs w:val="16"/>
              </w:rPr>
            </w:pPr>
            <w:r w:rsidRPr="00D31C8C">
              <w:rPr>
                <w:rFonts w:ascii="Titillium" w:eastAsia="Times New Roman" w:hAnsi="Titillium" w:cs="Times New Roman"/>
                <w:sz w:val="16"/>
                <w:szCs w:val="16"/>
              </w:rPr>
              <w:t xml:space="preserve">Informacje o lokalu użytkowym nabywanym równocześnie z lokalem mieszkalnym albo domem jednorodzinnym </w:t>
            </w:r>
          </w:p>
        </w:tc>
        <w:tc>
          <w:tcPr>
            <w:tcW w:w="6709" w:type="dxa"/>
            <w:gridSpan w:val="2"/>
            <w:tcBorders>
              <w:top w:val="single" w:sz="4" w:space="0" w:color="000000"/>
              <w:left w:val="single" w:sz="4" w:space="0" w:color="000000"/>
              <w:bottom w:val="single" w:sz="4" w:space="0" w:color="000000"/>
              <w:right w:val="single" w:sz="4" w:space="0" w:color="000000"/>
            </w:tcBorders>
          </w:tcPr>
          <w:p w14:paraId="04C10AC4" w14:textId="77777777" w:rsidR="00095A92" w:rsidRPr="00756984" w:rsidRDefault="00095A92">
            <w:pPr>
              <w:rPr>
                <w:rFonts w:ascii="Titillium" w:hAnsi="Titillium"/>
                <w:sz w:val="16"/>
                <w:szCs w:val="16"/>
              </w:rPr>
            </w:pPr>
          </w:p>
          <w:p w14:paraId="1854DFE2" w14:textId="4B0D8F35" w:rsidR="00FD584C" w:rsidRPr="00756984" w:rsidRDefault="00FD584C">
            <w:pPr>
              <w:rPr>
                <w:rFonts w:ascii="Titillium" w:hAnsi="Titillium"/>
                <w:sz w:val="16"/>
                <w:szCs w:val="16"/>
              </w:rPr>
            </w:pPr>
            <w:r w:rsidRPr="00756984">
              <w:rPr>
                <w:rFonts w:ascii="Titillium" w:hAnsi="Titillium"/>
                <w:sz w:val="16"/>
                <w:szCs w:val="16"/>
              </w:rPr>
              <w:t>nie dotyczy</w:t>
            </w:r>
          </w:p>
        </w:tc>
      </w:tr>
      <w:tr w:rsidR="00756984" w:rsidRPr="00756984" w14:paraId="1479BDD7" w14:textId="77777777" w:rsidTr="00BE00CC">
        <w:tblPrEx>
          <w:tblCellMar>
            <w:top w:w="0" w:type="dxa"/>
            <w:right w:w="74" w:type="dxa"/>
          </w:tblCellMar>
        </w:tblPrEx>
        <w:trPr>
          <w:trHeight w:val="839"/>
        </w:trPr>
        <w:tc>
          <w:tcPr>
            <w:tcW w:w="29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BD04BC" w14:textId="77777777" w:rsidR="00095A92" w:rsidRPr="00D31C8C" w:rsidRDefault="00095A92">
            <w:pPr>
              <w:rPr>
                <w:rFonts w:ascii="Titillium" w:hAnsi="Titillium"/>
                <w:sz w:val="16"/>
                <w:szCs w:val="16"/>
              </w:rPr>
            </w:pPr>
            <w:r w:rsidRPr="00D31C8C">
              <w:rPr>
                <w:rFonts w:ascii="Titillium" w:eastAsia="Times New Roman" w:hAnsi="Titillium" w:cs="Times New Roman"/>
                <w:sz w:val="16"/>
                <w:szCs w:val="16"/>
              </w:rPr>
              <w:t xml:space="preserve">Cenę lokalu użytkowego albo ułamkowej części własności lokalu </w:t>
            </w:r>
          </w:p>
          <w:p w14:paraId="566B562B" w14:textId="77777777" w:rsidR="00095A92" w:rsidRPr="00D31C8C" w:rsidRDefault="00095A92">
            <w:pPr>
              <w:rPr>
                <w:rFonts w:ascii="Titillium" w:hAnsi="Titillium"/>
                <w:sz w:val="16"/>
                <w:szCs w:val="16"/>
              </w:rPr>
            </w:pPr>
            <w:r w:rsidRPr="00D31C8C">
              <w:rPr>
                <w:rFonts w:ascii="Titillium" w:eastAsia="Times New Roman" w:hAnsi="Titillium" w:cs="Times New Roman"/>
                <w:sz w:val="16"/>
                <w:szCs w:val="16"/>
              </w:rPr>
              <w:t xml:space="preserve">użytkowego  </w:t>
            </w:r>
          </w:p>
        </w:tc>
        <w:tc>
          <w:tcPr>
            <w:tcW w:w="6709" w:type="dxa"/>
            <w:gridSpan w:val="2"/>
            <w:tcBorders>
              <w:top w:val="single" w:sz="4" w:space="0" w:color="000000"/>
              <w:left w:val="single" w:sz="4" w:space="0" w:color="000000"/>
              <w:bottom w:val="single" w:sz="4" w:space="0" w:color="000000"/>
              <w:right w:val="single" w:sz="4" w:space="0" w:color="000000"/>
            </w:tcBorders>
          </w:tcPr>
          <w:p w14:paraId="27B39F02" w14:textId="77777777" w:rsidR="00095A92" w:rsidRPr="00756984" w:rsidRDefault="00095A92">
            <w:pPr>
              <w:rPr>
                <w:rFonts w:ascii="Titillium" w:hAnsi="Titillium"/>
                <w:sz w:val="16"/>
                <w:szCs w:val="16"/>
              </w:rPr>
            </w:pPr>
          </w:p>
          <w:p w14:paraId="6ED5A076" w14:textId="300BD8FE" w:rsidR="00FD584C" w:rsidRPr="00756984" w:rsidRDefault="00FD584C">
            <w:pPr>
              <w:rPr>
                <w:rFonts w:ascii="Titillium" w:hAnsi="Titillium"/>
                <w:sz w:val="16"/>
                <w:szCs w:val="16"/>
              </w:rPr>
            </w:pPr>
            <w:r w:rsidRPr="00756984">
              <w:rPr>
                <w:rFonts w:ascii="Titillium" w:hAnsi="Titillium"/>
                <w:sz w:val="16"/>
                <w:szCs w:val="16"/>
              </w:rPr>
              <w:t>nie dotyczy</w:t>
            </w:r>
          </w:p>
        </w:tc>
      </w:tr>
      <w:tr w:rsidR="00756984" w:rsidRPr="00756984" w14:paraId="61E0B234" w14:textId="77777777" w:rsidTr="00BE00CC">
        <w:tblPrEx>
          <w:tblCellMar>
            <w:top w:w="0" w:type="dxa"/>
            <w:right w:w="74" w:type="dxa"/>
          </w:tblCellMar>
        </w:tblPrEx>
        <w:trPr>
          <w:trHeight w:val="993"/>
        </w:trPr>
        <w:tc>
          <w:tcPr>
            <w:tcW w:w="29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749509" w14:textId="77777777" w:rsidR="00095A92" w:rsidRPr="00D31C8C" w:rsidRDefault="00095A92">
            <w:pPr>
              <w:rPr>
                <w:rFonts w:ascii="Titillium" w:hAnsi="Titillium"/>
                <w:sz w:val="16"/>
                <w:szCs w:val="16"/>
              </w:rPr>
            </w:pPr>
            <w:r w:rsidRPr="00D31C8C">
              <w:rPr>
                <w:rFonts w:ascii="Titillium" w:eastAsia="Times New Roman" w:hAnsi="Titillium" w:cs="Times New Roman"/>
                <w:sz w:val="16"/>
                <w:szCs w:val="16"/>
              </w:rPr>
              <w:t xml:space="preserve">Termin, do którego nastąpi przeniesienie prawa własności lokalu użytkowego albo ułamkowej części własności lokalu użytkowego </w:t>
            </w:r>
          </w:p>
        </w:tc>
        <w:tc>
          <w:tcPr>
            <w:tcW w:w="6709" w:type="dxa"/>
            <w:gridSpan w:val="2"/>
            <w:tcBorders>
              <w:top w:val="single" w:sz="4" w:space="0" w:color="000000"/>
              <w:left w:val="single" w:sz="4" w:space="0" w:color="000000"/>
              <w:bottom w:val="single" w:sz="4" w:space="0" w:color="000000"/>
              <w:right w:val="single" w:sz="4" w:space="0" w:color="000000"/>
            </w:tcBorders>
          </w:tcPr>
          <w:p w14:paraId="26483B4D" w14:textId="77777777" w:rsidR="00095A92" w:rsidRPr="00756984" w:rsidRDefault="00095A92">
            <w:pPr>
              <w:rPr>
                <w:rFonts w:ascii="Titillium" w:hAnsi="Titillium"/>
                <w:sz w:val="16"/>
                <w:szCs w:val="16"/>
              </w:rPr>
            </w:pPr>
          </w:p>
          <w:p w14:paraId="1C862907" w14:textId="58BD09AE" w:rsidR="00FD584C" w:rsidRPr="00756984" w:rsidRDefault="00FD584C">
            <w:pPr>
              <w:rPr>
                <w:rFonts w:ascii="Titillium" w:hAnsi="Titillium"/>
                <w:sz w:val="16"/>
                <w:szCs w:val="16"/>
              </w:rPr>
            </w:pPr>
            <w:r w:rsidRPr="00756984">
              <w:rPr>
                <w:rFonts w:ascii="Titillium" w:hAnsi="Titillium"/>
                <w:sz w:val="16"/>
                <w:szCs w:val="16"/>
              </w:rPr>
              <w:t>nie dotyczy</w:t>
            </w:r>
          </w:p>
        </w:tc>
      </w:tr>
    </w:tbl>
    <w:p w14:paraId="04216BBB" w14:textId="6F66D839" w:rsidR="00095A92" w:rsidRPr="00D31C8C" w:rsidRDefault="00095A92">
      <w:pPr>
        <w:spacing w:after="495" w:line="265" w:lineRule="auto"/>
        <w:ind w:left="10" w:right="-10" w:hanging="10"/>
        <w:jc w:val="right"/>
        <w:rPr>
          <w:rFonts w:ascii="Titillium" w:hAnsi="Titillium"/>
          <w:sz w:val="16"/>
          <w:szCs w:val="16"/>
        </w:rPr>
      </w:pPr>
      <w:r w:rsidRPr="00D31C8C">
        <w:rPr>
          <w:rFonts w:ascii="Titillium" w:eastAsia="Times New Roman" w:hAnsi="Titillium" w:cs="Times New Roman"/>
          <w:b/>
          <w:sz w:val="16"/>
          <w:szCs w:val="16"/>
        </w:rPr>
        <w:t xml:space="preserve">Podpis dewelopera albo osoby upoważnionej do reprezentacji dewelopera </w:t>
      </w:r>
    </w:p>
    <w:p w14:paraId="44128062" w14:textId="6BE1C1C9" w:rsidR="00095A92" w:rsidRPr="00BE00CC" w:rsidRDefault="00BE00CC" w:rsidP="00BE00CC">
      <w:pPr>
        <w:spacing w:after="653" w:line="265" w:lineRule="auto"/>
        <w:ind w:left="10" w:right="-10" w:hanging="10"/>
        <w:jc w:val="right"/>
        <w:rPr>
          <w:rFonts w:ascii="Titillium" w:eastAsia="Times New Roman" w:hAnsi="Titillium" w:cs="Times New Roman"/>
          <w:b/>
          <w:sz w:val="16"/>
          <w:szCs w:val="16"/>
        </w:rPr>
      </w:pPr>
      <w:r w:rsidRPr="00D31C8C">
        <w:rPr>
          <w:rFonts w:ascii="Titillium" w:hAnsi="Titillium"/>
          <w:noProof/>
          <w:sz w:val="16"/>
          <w:szCs w:val="16"/>
        </w:rPr>
        <mc:AlternateContent>
          <mc:Choice Requires="wpg">
            <w:drawing>
              <wp:anchor distT="0" distB="0" distL="114300" distR="114300" simplePos="0" relativeHeight="251658240" behindDoc="1" locked="0" layoutInCell="1" allowOverlap="1" wp14:anchorId="00A256BF" wp14:editId="4ED431BB">
                <wp:simplePos x="0" y="0"/>
                <wp:positionH relativeFrom="margin">
                  <wp:align>left</wp:align>
                </wp:positionH>
                <wp:positionV relativeFrom="paragraph">
                  <wp:posOffset>422910</wp:posOffset>
                </wp:positionV>
                <wp:extent cx="6355080" cy="23495"/>
                <wp:effectExtent l="0" t="0" r="0" b="0"/>
                <wp:wrapTight wrapText="bothSides">
                  <wp:wrapPolygon edited="0">
                    <wp:start x="0" y="0"/>
                    <wp:lineTo x="0" y="21600"/>
                    <wp:lineTo x="21600" y="21600"/>
                    <wp:lineTo x="21600" y="0"/>
                  </wp:wrapPolygon>
                </wp:wrapTight>
                <wp:docPr id="22418" name="Group 22418"/>
                <wp:cNvGraphicFramePr/>
                <a:graphic xmlns:a="http://schemas.openxmlformats.org/drawingml/2006/main">
                  <a:graphicData uri="http://schemas.microsoft.com/office/word/2010/wordprocessingGroup">
                    <wpg:wgp>
                      <wpg:cNvGrpSpPr/>
                      <wpg:grpSpPr>
                        <a:xfrm>
                          <a:off x="0" y="0"/>
                          <a:ext cx="6355080" cy="23495"/>
                          <a:chOff x="0" y="0"/>
                          <a:chExt cx="6355297" cy="24073"/>
                        </a:xfrm>
                      </wpg:grpSpPr>
                      <wps:wsp>
                        <wps:cNvPr id="3233" name="Shape 3233"/>
                        <wps:cNvSpPr/>
                        <wps:spPr>
                          <a:xfrm>
                            <a:off x="0" y="0"/>
                            <a:ext cx="6355297" cy="0"/>
                          </a:xfrm>
                          <a:custGeom>
                            <a:avLst/>
                            <a:gdLst/>
                            <a:ahLst/>
                            <a:cxnLst/>
                            <a:rect l="0" t="0" r="0" b="0"/>
                            <a:pathLst>
                              <a:path w="6355297">
                                <a:moveTo>
                                  <a:pt x="0" y="0"/>
                                </a:moveTo>
                                <a:lnTo>
                                  <a:pt x="6355297" y="0"/>
                                </a:lnTo>
                              </a:path>
                            </a:pathLst>
                          </a:custGeom>
                          <a:ln w="2407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C19E10" id="Group 22418" o:spid="_x0000_s1026" style="position:absolute;margin-left:0;margin-top:33.3pt;width:500.4pt;height:1.85pt;z-index:-251658240;mso-position-horizontal:left;mso-position-horizontal-relative:margin" coordsize="6355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">
                <v:shape id="Shape 3233" o:spid="_x0000_s1027" style="position:absolute;width:63552;height:0;visibility:visible;mso-wrap-style:square;v-text-anchor:top" coordsize="6355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" path="m,l6355297,e" filled="f" strokeweight=".66869mm">
                  <v:path arrowok="t" textboxrect="0,0,6355297,0"/>
                </v:shape>
                <w10:wrap type="tight" anchorx="margin"/>
              </v:group>
            </w:pict>
          </mc:Fallback>
        </mc:AlternateContent>
      </w:r>
      <w:r w:rsidR="00095A92" w:rsidRPr="00D31C8C">
        <w:rPr>
          <w:rFonts w:ascii="Titillium" w:eastAsia="Times New Roman" w:hAnsi="Titillium" w:cs="Times New Roman"/>
          <w:b/>
          <w:sz w:val="16"/>
          <w:szCs w:val="16"/>
        </w:rPr>
        <w:t>…...………………………………….</w:t>
      </w:r>
    </w:p>
    <w:p w14:paraId="14D41BBA" w14:textId="77777777" w:rsidR="00095A92" w:rsidRPr="00FD584C" w:rsidRDefault="00095A92">
      <w:pPr>
        <w:spacing w:after="115" w:line="265" w:lineRule="auto"/>
        <w:ind w:left="-5" w:hanging="10"/>
        <w:rPr>
          <w:rFonts w:ascii="Titillium" w:hAnsi="Titillium"/>
          <w:sz w:val="12"/>
          <w:szCs w:val="12"/>
        </w:rPr>
      </w:pPr>
      <w:r w:rsidRPr="00FD584C">
        <w:rPr>
          <w:rFonts w:ascii="Titillium" w:eastAsia="Times New Roman" w:hAnsi="Titillium" w:cs="Times New Roman"/>
          <w:b/>
          <w:sz w:val="12"/>
          <w:szCs w:val="12"/>
        </w:rPr>
        <w:t xml:space="preserve">Załączniki: </w:t>
      </w:r>
    </w:p>
    <w:p w14:paraId="2838662B" w14:textId="77777777" w:rsidR="00095A92" w:rsidRPr="00FD584C" w:rsidRDefault="00095A92">
      <w:pPr>
        <w:numPr>
          <w:ilvl w:val="0"/>
          <w:numId w:val="3"/>
        </w:numPr>
        <w:spacing w:after="157" w:line="251" w:lineRule="auto"/>
        <w:ind w:hanging="276"/>
        <w:jc w:val="both"/>
        <w:rPr>
          <w:rFonts w:ascii="Titillium" w:hAnsi="Titillium"/>
          <w:sz w:val="12"/>
          <w:szCs w:val="12"/>
        </w:rPr>
      </w:pPr>
      <w:r w:rsidRPr="00FD584C">
        <w:rPr>
          <w:rFonts w:ascii="Titillium" w:eastAsia="Times New Roman" w:hAnsi="Titillium" w:cs="Times New Roman"/>
          <w:sz w:val="12"/>
          <w:szCs w:val="12"/>
        </w:rPr>
        <w:t>Rzut kondygnacji z zaznaczeniem lokalu mieszkalnego.</w:t>
      </w:r>
    </w:p>
    <w:p w14:paraId="16B450EC" w14:textId="77777777" w:rsidR="00095A92" w:rsidRPr="00FD584C" w:rsidRDefault="00095A92">
      <w:pPr>
        <w:numPr>
          <w:ilvl w:val="0"/>
          <w:numId w:val="3"/>
        </w:numPr>
        <w:spacing w:after="157" w:line="251" w:lineRule="auto"/>
        <w:ind w:hanging="276"/>
        <w:jc w:val="both"/>
        <w:rPr>
          <w:rFonts w:ascii="Titillium" w:hAnsi="Titillium"/>
          <w:sz w:val="12"/>
          <w:szCs w:val="12"/>
        </w:rPr>
      </w:pPr>
      <w:r w:rsidRPr="00FD584C">
        <w:rPr>
          <w:rFonts w:ascii="Titillium" w:eastAsia="Times New Roman" w:hAnsi="Titillium" w:cs="Times New Roman"/>
          <w:sz w:val="12"/>
          <w:szCs w:val="12"/>
        </w:rPr>
        <w:t>Wzór umowy deweloperskiej lub umowy, o której mowa w art. 2 ust. 1 pkt 2, 3 lub 5 ustawy z dnia 20 maja 2021 r. o ochronie praw nabywcy lokalu mieszkalnego lub domu jednorodzinnego oraz Deweloperskim Funduszu Gwarancyjnym.</w:t>
      </w:r>
    </w:p>
    <w:p w14:paraId="4AB2912B" w14:textId="2AC0EE01" w:rsidR="00FA7790" w:rsidRPr="00D65784" w:rsidRDefault="00095A92" w:rsidP="00D65784">
      <w:pPr>
        <w:numPr>
          <w:ilvl w:val="0"/>
          <w:numId w:val="3"/>
        </w:numPr>
        <w:spacing w:after="41" w:line="251" w:lineRule="auto"/>
        <w:ind w:hanging="276"/>
        <w:jc w:val="both"/>
        <w:rPr>
          <w:rFonts w:ascii="Titillium" w:hAnsi="Titillium"/>
          <w:sz w:val="12"/>
          <w:szCs w:val="12"/>
        </w:rPr>
      </w:pPr>
      <w:r w:rsidRPr="00FD584C">
        <w:rPr>
          <w:rFonts w:ascii="Titillium" w:eastAsia="Times New Roman" w:hAnsi="Titillium" w:cs="Times New Roman"/>
          <w:sz w:val="12"/>
          <w:szCs w:val="12"/>
        </w:rPr>
        <w:lastRenderedPageBreak/>
        <w:t>Szkic koncepcji zagospodarowania terenu inwestycji i jego otoczenia z zaznaczeniem budynku oraz istotnych uwarunkowań lokalizacji inwestycji wynikających z istniejącego stanu użytkowania terenów sąsiednich (np. z funkcji terenu, stref ochronnych, uciążliwości).</w:t>
      </w:r>
    </w:p>
    <w:p w14:paraId="1F32F309" w14:textId="6FBDB185" w:rsidR="004D09B6" w:rsidRPr="00D31C8C" w:rsidRDefault="00095A92" w:rsidP="00C74A9E">
      <w:pPr>
        <w:spacing w:after="0"/>
        <w:ind w:left="-22" w:right="-68"/>
        <w:rPr>
          <w:rFonts w:ascii="Titillium" w:hAnsi="Titillium"/>
          <w:sz w:val="16"/>
          <w:szCs w:val="16"/>
        </w:rPr>
      </w:pPr>
      <w:r w:rsidRPr="00D31C8C">
        <w:rPr>
          <w:rFonts w:ascii="Titillium" w:hAnsi="Titillium"/>
          <w:noProof/>
          <w:sz w:val="16"/>
          <w:szCs w:val="16"/>
        </w:rPr>
        <mc:AlternateContent>
          <mc:Choice Requires="wpg">
            <w:drawing>
              <wp:inline distT="0" distB="0" distL="0" distR="0" wp14:anchorId="1E9DDC78" wp14:editId="291FAA0F">
                <wp:extent cx="6322722" cy="23950"/>
                <wp:effectExtent l="0" t="0" r="0" b="0"/>
                <wp:docPr id="22420" name="Group 22420"/>
                <wp:cNvGraphicFramePr/>
                <a:graphic xmlns:a="http://schemas.openxmlformats.org/drawingml/2006/main">
                  <a:graphicData uri="http://schemas.microsoft.com/office/word/2010/wordprocessingGroup">
                    <wpg:wgp>
                      <wpg:cNvGrpSpPr/>
                      <wpg:grpSpPr>
                        <a:xfrm>
                          <a:off x="0" y="0"/>
                          <a:ext cx="6322722" cy="23950"/>
                          <a:chOff x="0" y="0"/>
                          <a:chExt cx="6322722" cy="23950"/>
                        </a:xfrm>
                      </wpg:grpSpPr>
                      <wps:wsp>
                        <wps:cNvPr id="3234" name="Shape 3234"/>
                        <wps:cNvSpPr/>
                        <wps:spPr>
                          <a:xfrm>
                            <a:off x="0" y="0"/>
                            <a:ext cx="6322722" cy="0"/>
                          </a:xfrm>
                          <a:custGeom>
                            <a:avLst/>
                            <a:gdLst/>
                            <a:ahLst/>
                            <a:cxnLst/>
                            <a:rect l="0" t="0" r="0" b="0"/>
                            <a:pathLst>
                              <a:path w="6322722">
                                <a:moveTo>
                                  <a:pt x="0" y="0"/>
                                </a:moveTo>
                                <a:lnTo>
                                  <a:pt x="6322722" y="0"/>
                                </a:lnTo>
                              </a:path>
                            </a:pathLst>
                          </a:custGeom>
                          <a:ln w="239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D134C8" id="Group 22420" o:spid="_x0000_s1026" style="width:497.85pt;height:1.9pt;mso-position-horizontal-relative:char;mso-position-vertical-relative:line" coordsize="6322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">
                <v:shape id="Shape 3234" o:spid="_x0000_s1027" style="position:absolute;width:63227;height:0;visibility:visible;mso-wrap-style:square;v-text-anchor:top" coordsize="6322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" path="m,l6322722,e" filled="f" strokeweight=".66528mm">
                  <v:path arrowok="t" textboxrect="0,0,6322722,0"/>
                </v:shape>
                <w10:anchorlock/>
              </v:group>
            </w:pict>
          </mc:Fallback>
        </mc:AlternateContent>
      </w:r>
    </w:p>
    <w:sectPr w:rsidR="004D09B6" w:rsidRPr="00D31C8C" w:rsidSect="00B559E4">
      <w:footerReference w:type="default" r:id="rId17"/>
      <w:pgSz w:w="11906" w:h="16838"/>
      <w:pgMar w:top="720" w:right="141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5B50F" w14:textId="77777777" w:rsidR="005304E4" w:rsidRDefault="005304E4" w:rsidP="00095A92">
      <w:pPr>
        <w:spacing w:after="0" w:line="240" w:lineRule="auto"/>
      </w:pPr>
      <w:r>
        <w:separator/>
      </w:r>
    </w:p>
  </w:endnote>
  <w:endnote w:type="continuationSeparator" w:id="0">
    <w:p w14:paraId="73B5C39B" w14:textId="77777777" w:rsidR="005304E4" w:rsidRDefault="005304E4" w:rsidP="0009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tillium">
    <w:altName w:val="Calibri"/>
    <w:panose1 w:val="00000500000000000000"/>
    <w:charset w:val="EE"/>
    <w:family w:val="auto"/>
    <w:pitch w:val="variable"/>
    <w:sig w:usb0="0000000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365581"/>
      <w:docPartObj>
        <w:docPartGallery w:val="Page Numbers (Bottom of Page)"/>
        <w:docPartUnique/>
      </w:docPartObj>
    </w:sdtPr>
    <w:sdtEndPr/>
    <w:sdtContent>
      <w:p w14:paraId="33346E67" w14:textId="2410C9E8" w:rsidR="00BF7EED" w:rsidRDefault="00BF7EED">
        <w:pPr>
          <w:pStyle w:val="Stopka"/>
          <w:jc w:val="center"/>
        </w:pPr>
        <w:r>
          <w:fldChar w:fldCharType="begin"/>
        </w:r>
        <w:r>
          <w:instrText>PAGE   \* MERGEFORMAT</w:instrText>
        </w:r>
        <w:r>
          <w:fldChar w:fldCharType="separate"/>
        </w:r>
        <w:r>
          <w:t>2</w:t>
        </w:r>
        <w:r>
          <w:fldChar w:fldCharType="end"/>
        </w:r>
      </w:p>
    </w:sdtContent>
  </w:sdt>
  <w:p w14:paraId="128EC00A" w14:textId="77777777" w:rsidR="00BF7EED" w:rsidRDefault="00BF7E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38DAC" w14:textId="77777777" w:rsidR="005304E4" w:rsidRDefault="005304E4" w:rsidP="00095A92">
      <w:pPr>
        <w:spacing w:after="0" w:line="240" w:lineRule="auto"/>
      </w:pPr>
      <w:r>
        <w:separator/>
      </w:r>
    </w:p>
  </w:footnote>
  <w:footnote w:type="continuationSeparator" w:id="0">
    <w:p w14:paraId="16DC5504" w14:textId="77777777" w:rsidR="005304E4" w:rsidRDefault="005304E4" w:rsidP="00095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4207CF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F70962"/>
    <w:multiLevelType w:val="hybridMultilevel"/>
    <w:tmpl w:val="9F40C3AC"/>
    <w:lvl w:ilvl="0" w:tplc="0415000F">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 w15:restartNumberingAfterBreak="0">
    <w:nsid w:val="031A239E"/>
    <w:multiLevelType w:val="hybridMultilevel"/>
    <w:tmpl w:val="38767728"/>
    <w:lvl w:ilvl="0" w:tplc="7BD297AC">
      <w:start w:val="1"/>
      <w:numFmt w:val="upperRoman"/>
      <w:lvlText w:val="%1."/>
      <w:lvlJc w:val="left"/>
      <w:pPr>
        <w:ind w:left="1080" w:hanging="720"/>
      </w:pPr>
      <w:rPr>
        <w:rFonts w:eastAsia="Times New Roman" w:cs="Times New Roman"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765372"/>
    <w:multiLevelType w:val="hybridMultilevel"/>
    <w:tmpl w:val="A38A6566"/>
    <w:lvl w:ilvl="0" w:tplc="15805740">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 w15:restartNumberingAfterBreak="0">
    <w:nsid w:val="199D5707"/>
    <w:multiLevelType w:val="hybridMultilevel"/>
    <w:tmpl w:val="9D544E20"/>
    <w:lvl w:ilvl="0" w:tplc="F4CA8D00">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5" w15:restartNumberingAfterBreak="0">
    <w:nsid w:val="24503964"/>
    <w:multiLevelType w:val="hybridMultilevel"/>
    <w:tmpl w:val="2C5ABF94"/>
    <w:lvl w:ilvl="0" w:tplc="E1A0521A">
      <w:start w:val="2"/>
      <w:numFmt w:val="upperRoman"/>
      <w:lvlText w:val="%1&gt;"/>
      <w:lvlJc w:val="left"/>
      <w:pPr>
        <w:ind w:left="1080" w:hanging="720"/>
      </w:pPr>
      <w:rPr>
        <w:rFonts w:eastAsia="Times New Roman" w:cs="Times New Roman"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172B41"/>
    <w:multiLevelType w:val="hybridMultilevel"/>
    <w:tmpl w:val="BFC43DCE"/>
    <w:lvl w:ilvl="0" w:tplc="D276A7C6">
      <w:start w:val="1"/>
      <w:numFmt w:val="decimal"/>
      <w:lvlText w:val="%1."/>
      <w:lvlJc w:val="left"/>
      <w:pPr>
        <w:ind w:left="362" w:hanging="360"/>
      </w:pPr>
      <w:rPr>
        <w:rFonts w:hint="default"/>
        <w:color w:val="auto"/>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7" w15:restartNumberingAfterBreak="0">
    <w:nsid w:val="2D5D0648"/>
    <w:multiLevelType w:val="hybridMultilevel"/>
    <w:tmpl w:val="470E341A"/>
    <w:lvl w:ilvl="0" w:tplc="764492E8">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8" w15:restartNumberingAfterBreak="0">
    <w:nsid w:val="30101D96"/>
    <w:multiLevelType w:val="hybridMultilevel"/>
    <w:tmpl w:val="B148A3FC"/>
    <w:lvl w:ilvl="0" w:tplc="8EFA8D50">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9" w15:restartNumberingAfterBreak="0">
    <w:nsid w:val="32603F36"/>
    <w:multiLevelType w:val="hybridMultilevel"/>
    <w:tmpl w:val="7786DB60"/>
    <w:lvl w:ilvl="0" w:tplc="B09A9302">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27E5B7E">
      <w:start w:val="1"/>
      <w:numFmt w:val="lowerLetter"/>
      <w:lvlText w:val="%2"/>
      <w:lvlJc w:val="left"/>
      <w:pPr>
        <w:ind w:left="14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127298">
      <w:start w:val="1"/>
      <w:numFmt w:val="lowerRoman"/>
      <w:lvlText w:val="%3"/>
      <w:lvlJc w:val="left"/>
      <w:pPr>
        <w:ind w:left="21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0E6299E">
      <w:start w:val="1"/>
      <w:numFmt w:val="decimal"/>
      <w:lvlText w:val="%4"/>
      <w:lvlJc w:val="left"/>
      <w:pPr>
        <w:ind w:left="28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21629BC">
      <w:start w:val="1"/>
      <w:numFmt w:val="lowerLetter"/>
      <w:lvlText w:val="%5"/>
      <w:lvlJc w:val="left"/>
      <w:pPr>
        <w:ind w:left="35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DBCE704">
      <w:start w:val="1"/>
      <w:numFmt w:val="lowerRoman"/>
      <w:lvlText w:val="%6"/>
      <w:lvlJc w:val="left"/>
      <w:pPr>
        <w:ind w:left="43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F9E18B2">
      <w:start w:val="1"/>
      <w:numFmt w:val="decimal"/>
      <w:lvlText w:val="%7"/>
      <w:lvlJc w:val="left"/>
      <w:pPr>
        <w:ind w:left="50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9C82C46">
      <w:start w:val="1"/>
      <w:numFmt w:val="lowerLetter"/>
      <w:lvlText w:val="%8"/>
      <w:lvlJc w:val="left"/>
      <w:pPr>
        <w:ind w:left="57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830263E">
      <w:start w:val="1"/>
      <w:numFmt w:val="lowerRoman"/>
      <w:lvlText w:val="%9"/>
      <w:lvlJc w:val="left"/>
      <w:pPr>
        <w:ind w:left="64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4B244B1"/>
    <w:multiLevelType w:val="hybridMultilevel"/>
    <w:tmpl w:val="1132F7C0"/>
    <w:lvl w:ilvl="0" w:tplc="2236D09E">
      <w:start w:val="1"/>
      <w:numFmt w:val="bullet"/>
      <w:lvlText w:val="–"/>
      <w:lvlJc w:val="left"/>
      <w:pPr>
        <w:ind w:left="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FAB9DC">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D04032">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AAAF8C">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265106">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329990">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786A98">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A40856">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3C4546">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5B305C"/>
    <w:multiLevelType w:val="hybridMultilevel"/>
    <w:tmpl w:val="FAA402A2"/>
    <w:lvl w:ilvl="0" w:tplc="5454834E">
      <w:start w:val="1"/>
      <w:numFmt w:val="lowerLetter"/>
      <w:lvlText w:val="%1)"/>
      <w:lvlJc w:val="left"/>
      <w:pPr>
        <w:ind w:left="107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EA488D54">
      <w:start w:val="1"/>
      <w:numFmt w:val="lowerLetter"/>
      <w:lvlText w:val="%2"/>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C26178">
      <w:start w:val="1"/>
      <w:numFmt w:val="lowerRoman"/>
      <w:lvlText w:val="%3"/>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E256DA">
      <w:start w:val="1"/>
      <w:numFmt w:val="decimal"/>
      <w:lvlText w:val="%4"/>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D4902A">
      <w:start w:val="1"/>
      <w:numFmt w:val="lowerLetter"/>
      <w:lvlText w:val="%5"/>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184F90">
      <w:start w:val="1"/>
      <w:numFmt w:val="lowerRoman"/>
      <w:lvlText w:val="%6"/>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504A0E">
      <w:start w:val="1"/>
      <w:numFmt w:val="decimal"/>
      <w:lvlText w:val="%7"/>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DAE614">
      <w:start w:val="1"/>
      <w:numFmt w:val="lowerLetter"/>
      <w:lvlText w:val="%8"/>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585454">
      <w:start w:val="1"/>
      <w:numFmt w:val="lowerRoman"/>
      <w:lvlText w:val="%9"/>
      <w:lvlJc w:val="left"/>
      <w:pPr>
        <w:ind w:left="6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541D29"/>
    <w:multiLevelType w:val="hybridMultilevel"/>
    <w:tmpl w:val="191CCFFE"/>
    <w:lvl w:ilvl="0" w:tplc="C8F2787E">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13" w15:restartNumberingAfterBreak="0">
    <w:nsid w:val="3ECD7DDB"/>
    <w:multiLevelType w:val="hybridMultilevel"/>
    <w:tmpl w:val="1D28E02E"/>
    <w:lvl w:ilvl="0" w:tplc="D5E2F898">
      <w:start w:val="1"/>
      <w:numFmt w:val="decimal"/>
      <w:lvlText w:val="%1."/>
      <w:lvlJc w:val="left"/>
      <w:pPr>
        <w:ind w:left="27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20A6D29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32E43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C60E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30F22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FAC23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06E15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D024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A6AFF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01E6E36"/>
    <w:multiLevelType w:val="hybridMultilevel"/>
    <w:tmpl w:val="F9968828"/>
    <w:lvl w:ilvl="0" w:tplc="691E1EDA">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5" w15:restartNumberingAfterBreak="0">
    <w:nsid w:val="47071E51"/>
    <w:multiLevelType w:val="hybridMultilevel"/>
    <w:tmpl w:val="898C2D64"/>
    <w:lvl w:ilvl="0" w:tplc="A94C35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A9664E4"/>
    <w:multiLevelType w:val="hybridMultilevel"/>
    <w:tmpl w:val="5BA6543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58641C"/>
    <w:multiLevelType w:val="hybridMultilevel"/>
    <w:tmpl w:val="4FA26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B42C2D"/>
    <w:multiLevelType w:val="hybridMultilevel"/>
    <w:tmpl w:val="5BC4D44A"/>
    <w:lvl w:ilvl="0" w:tplc="F7504F6E">
      <w:start w:val="1"/>
      <w:numFmt w:val="decimal"/>
      <w:lvlText w:val="%1)"/>
      <w:lvlJc w:val="left"/>
      <w:pPr>
        <w:ind w:left="7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D2A6C0E4">
      <w:start w:val="1"/>
      <w:numFmt w:val="lowerLetter"/>
      <w:lvlText w:val="%2)"/>
      <w:lvlJc w:val="left"/>
      <w:pPr>
        <w:ind w:left="107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914453EC">
      <w:start w:val="1"/>
      <w:numFmt w:val="lowerRoman"/>
      <w:lvlText w:val="%3"/>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6E5110">
      <w:start w:val="1"/>
      <w:numFmt w:val="decimal"/>
      <w:lvlText w:val="%4"/>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2E2426">
      <w:start w:val="1"/>
      <w:numFmt w:val="lowerLetter"/>
      <w:lvlText w:val="%5"/>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748068">
      <w:start w:val="1"/>
      <w:numFmt w:val="lowerRoman"/>
      <w:lvlText w:val="%6"/>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10ED6C">
      <w:start w:val="1"/>
      <w:numFmt w:val="decimal"/>
      <w:lvlText w:val="%7"/>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CC1172">
      <w:start w:val="1"/>
      <w:numFmt w:val="lowerLetter"/>
      <w:lvlText w:val="%8"/>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5C1F70">
      <w:start w:val="1"/>
      <w:numFmt w:val="lowerRoman"/>
      <w:lvlText w:val="%9"/>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A1F0399"/>
    <w:multiLevelType w:val="hybridMultilevel"/>
    <w:tmpl w:val="7C66D20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777BF6"/>
    <w:multiLevelType w:val="hybridMultilevel"/>
    <w:tmpl w:val="1A78B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517936"/>
    <w:multiLevelType w:val="hybridMultilevel"/>
    <w:tmpl w:val="AF5CFE7A"/>
    <w:lvl w:ilvl="0" w:tplc="195AEFFE">
      <w:start w:val="1"/>
      <w:numFmt w:val="decimal"/>
      <w:lvlText w:val="%1)"/>
      <w:lvlJc w:val="left"/>
      <w:pPr>
        <w:ind w:left="31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9DD2219C">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B4035C">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A6BC0A">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62FB6E">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A2D1CC">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CC993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FA6958">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C8C276">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9806995"/>
    <w:multiLevelType w:val="hybridMultilevel"/>
    <w:tmpl w:val="0268C258"/>
    <w:lvl w:ilvl="0" w:tplc="2558F30E">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23" w15:restartNumberingAfterBreak="0">
    <w:nsid w:val="7ADA5BC2"/>
    <w:multiLevelType w:val="hybridMultilevel"/>
    <w:tmpl w:val="D0641954"/>
    <w:lvl w:ilvl="0" w:tplc="A2AE7376">
      <w:start w:val="3"/>
      <w:numFmt w:val="decimal"/>
      <w:lvlText w:val="%1)"/>
      <w:lvlJc w:val="left"/>
      <w:pPr>
        <w:ind w:left="2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F3C698EA">
      <w:start w:val="1"/>
      <w:numFmt w:val="decimal"/>
      <w:lvlText w:val="%2)"/>
      <w:lvlJc w:val="left"/>
      <w:pPr>
        <w:ind w:left="55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34565672">
      <w:start w:val="1"/>
      <w:numFmt w:val="lowerRoman"/>
      <w:lvlText w:val="%3"/>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F265AE6">
      <w:start w:val="1"/>
      <w:numFmt w:val="decimal"/>
      <w:lvlText w:val="%4"/>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F9E1BFC">
      <w:start w:val="1"/>
      <w:numFmt w:val="lowerLetter"/>
      <w:lvlText w:val="%5"/>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AD698">
      <w:start w:val="1"/>
      <w:numFmt w:val="lowerRoman"/>
      <w:lvlText w:val="%6"/>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B82650C">
      <w:start w:val="1"/>
      <w:numFmt w:val="decimal"/>
      <w:lvlText w:val="%7"/>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4EA983E">
      <w:start w:val="1"/>
      <w:numFmt w:val="lowerLetter"/>
      <w:lvlText w:val="%8"/>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54860E2">
      <w:start w:val="1"/>
      <w:numFmt w:val="lowerRoman"/>
      <w:lvlText w:val="%9"/>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C383358"/>
    <w:multiLevelType w:val="hybridMultilevel"/>
    <w:tmpl w:val="198A304A"/>
    <w:lvl w:ilvl="0" w:tplc="66E60EAC">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25" w15:restartNumberingAfterBreak="0">
    <w:nsid w:val="7D34100E"/>
    <w:multiLevelType w:val="hybridMultilevel"/>
    <w:tmpl w:val="B9464F38"/>
    <w:lvl w:ilvl="0" w:tplc="082492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2633924">
    <w:abstractNumId w:val="9"/>
  </w:num>
  <w:num w:numId="2" w16cid:durableId="1738817292">
    <w:abstractNumId w:val="23"/>
  </w:num>
  <w:num w:numId="3" w16cid:durableId="1601911793">
    <w:abstractNumId w:val="13"/>
  </w:num>
  <w:num w:numId="4" w16cid:durableId="967006954">
    <w:abstractNumId w:val="21"/>
  </w:num>
  <w:num w:numId="5" w16cid:durableId="143937117">
    <w:abstractNumId w:val="18"/>
  </w:num>
  <w:num w:numId="6" w16cid:durableId="329455240">
    <w:abstractNumId w:val="11"/>
  </w:num>
  <w:num w:numId="7" w16cid:durableId="246234980">
    <w:abstractNumId w:val="10"/>
  </w:num>
  <w:num w:numId="8" w16cid:durableId="512502454">
    <w:abstractNumId w:val="2"/>
  </w:num>
  <w:num w:numId="9" w16cid:durableId="2055502665">
    <w:abstractNumId w:val="5"/>
  </w:num>
  <w:num w:numId="10" w16cid:durableId="992371634">
    <w:abstractNumId w:val="1"/>
  </w:num>
  <w:num w:numId="11" w16cid:durableId="2008556416">
    <w:abstractNumId w:val="20"/>
  </w:num>
  <w:num w:numId="12" w16cid:durableId="2044401170">
    <w:abstractNumId w:val="15"/>
  </w:num>
  <w:num w:numId="13" w16cid:durableId="1119301629">
    <w:abstractNumId w:val="7"/>
  </w:num>
  <w:num w:numId="14" w16cid:durableId="905989538">
    <w:abstractNumId w:val="25"/>
  </w:num>
  <w:num w:numId="15" w16cid:durableId="1107315175">
    <w:abstractNumId w:val="4"/>
  </w:num>
  <w:num w:numId="16" w16cid:durableId="66071945">
    <w:abstractNumId w:val="22"/>
  </w:num>
  <w:num w:numId="17" w16cid:durableId="16127290">
    <w:abstractNumId w:val="3"/>
  </w:num>
  <w:num w:numId="18" w16cid:durableId="334843446">
    <w:abstractNumId w:val="14"/>
  </w:num>
  <w:num w:numId="19" w16cid:durableId="11995083">
    <w:abstractNumId w:val="24"/>
  </w:num>
  <w:num w:numId="20" w16cid:durableId="687874678">
    <w:abstractNumId w:val="8"/>
  </w:num>
  <w:num w:numId="21" w16cid:durableId="2075203008">
    <w:abstractNumId w:val="17"/>
  </w:num>
  <w:num w:numId="22" w16cid:durableId="552547376">
    <w:abstractNumId w:val="12"/>
  </w:num>
  <w:num w:numId="23" w16cid:durableId="2042124846">
    <w:abstractNumId w:val="0"/>
  </w:num>
  <w:num w:numId="24" w16cid:durableId="627928851">
    <w:abstractNumId w:val="6"/>
  </w:num>
  <w:num w:numId="25" w16cid:durableId="1073042054">
    <w:abstractNumId w:val="16"/>
  </w:num>
  <w:num w:numId="26" w16cid:durableId="13467098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92"/>
    <w:rsid w:val="000036F5"/>
    <w:rsid w:val="00011031"/>
    <w:rsid w:val="00011964"/>
    <w:rsid w:val="00033885"/>
    <w:rsid w:val="00033C7D"/>
    <w:rsid w:val="000374B9"/>
    <w:rsid w:val="000560BD"/>
    <w:rsid w:val="00060243"/>
    <w:rsid w:val="000613A0"/>
    <w:rsid w:val="00061561"/>
    <w:rsid w:val="000617DA"/>
    <w:rsid w:val="00063709"/>
    <w:rsid w:val="00070C53"/>
    <w:rsid w:val="00074205"/>
    <w:rsid w:val="00080102"/>
    <w:rsid w:val="00085973"/>
    <w:rsid w:val="00091CCC"/>
    <w:rsid w:val="000950E2"/>
    <w:rsid w:val="00095A92"/>
    <w:rsid w:val="000A14CC"/>
    <w:rsid w:val="000A48D4"/>
    <w:rsid w:val="000B0F9B"/>
    <w:rsid w:val="000B2FC9"/>
    <w:rsid w:val="000B36CE"/>
    <w:rsid w:val="000B5E52"/>
    <w:rsid w:val="000C26D6"/>
    <w:rsid w:val="000C7D6E"/>
    <w:rsid w:val="000D34AF"/>
    <w:rsid w:val="000D45D2"/>
    <w:rsid w:val="000D4D6E"/>
    <w:rsid w:val="000E4982"/>
    <w:rsid w:val="000E5E96"/>
    <w:rsid w:val="000F37D2"/>
    <w:rsid w:val="00102B07"/>
    <w:rsid w:val="00105C78"/>
    <w:rsid w:val="00106C67"/>
    <w:rsid w:val="00113C24"/>
    <w:rsid w:val="00122131"/>
    <w:rsid w:val="00134CBC"/>
    <w:rsid w:val="001355A0"/>
    <w:rsid w:val="001379D7"/>
    <w:rsid w:val="00142902"/>
    <w:rsid w:val="001445EF"/>
    <w:rsid w:val="001526BB"/>
    <w:rsid w:val="00154A89"/>
    <w:rsid w:val="00154B19"/>
    <w:rsid w:val="00154BD6"/>
    <w:rsid w:val="0016393F"/>
    <w:rsid w:val="00163A2F"/>
    <w:rsid w:val="00166486"/>
    <w:rsid w:val="001706F6"/>
    <w:rsid w:val="0017097A"/>
    <w:rsid w:val="00181866"/>
    <w:rsid w:val="00181F89"/>
    <w:rsid w:val="001845CE"/>
    <w:rsid w:val="00191172"/>
    <w:rsid w:val="00194F14"/>
    <w:rsid w:val="00195B53"/>
    <w:rsid w:val="001A4C39"/>
    <w:rsid w:val="001A61E3"/>
    <w:rsid w:val="001A62F6"/>
    <w:rsid w:val="001B6CEB"/>
    <w:rsid w:val="001C4DFE"/>
    <w:rsid w:val="001C4F49"/>
    <w:rsid w:val="001D63B1"/>
    <w:rsid w:val="001D6530"/>
    <w:rsid w:val="001E10B2"/>
    <w:rsid w:val="001E53BA"/>
    <w:rsid w:val="001F2D05"/>
    <w:rsid w:val="001F6721"/>
    <w:rsid w:val="00200F86"/>
    <w:rsid w:val="002077B6"/>
    <w:rsid w:val="002131CF"/>
    <w:rsid w:val="002136C9"/>
    <w:rsid w:val="0021793B"/>
    <w:rsid w:val="00231E61"/>
    <w:rsid w:val="002325B3"/>
    <w:rsid w:val="00235660"/>
    <w:rsid w:val="00241236"/>
    <w:rsid w:val="00244E52"/>
    <w:rsid w:val="00246287"/>
    <w:rsid w:val="00261E2B"/>
    <w:rsid w:val="002651BD"/>
    <w:rsid w:val="00280898"/>
    <w:rsid w:val="0028174E"/>
    <w:rsid w:val="002916E2"/>
    <w:rsid w:val="00292B93"/>
    <w:rsid w:val="0029623F"/>
    <w:rsid w:val="002A78DE"/>
    <w:rsid w:val="002B0981"/>
    <w:rsid w:val="002C0F19"/>
    <w:rsid w:val="002C224F"/>
    <w:rsid w:val="002C4568"/>
    <w:rsid w:val="002C5935"/>
    <w:rsid w:val="002D0A1F"/>
    <w:rsid w:val="002D4094"/>
    <w:rsid w:val="002D43B7"/>
    <w:rsid w:val="002D5318"/>
    <w:rsid w:val="002D6350"/>
    <w:rsid w:val="002E03C1"/>
    <w:rsid w:val="002E17EC"/>
    <w:rsid w:val="002F2ED7"/>
    <w:rsid w:val="002F7CD5"/>
    <w:rsid w:val="002F7EFA"/>
    <w:rsid w:val="00301A2E"/>
    <w:rsid w:val="003030F1"/>
    <w:rsid w:val="003142FA"/>
    <w:rsid w:val="00322C66"/>
    <w:rsid w:val="00322DC1"/>
    <w:rsid w:val="003319AA"/>
    <w:rsid w:val="003346D0"/>
    <w:rsid w:val="003357EB"/>
    <w:rsid w:val="00344C65"/>
    <w:rsid w:val="00360D05"/>
    <w:rsid w:val="00361DE9"/>
    <w:rsid w:val="00362057"/>
    <w:rsid w:val="00367578"/>
    <w:rsid w:val="00370C1E"/>
    <w:rsid w:val="00376405"/>
    <w:rsid w:val="00390602"/>
    <w:rsid w:val="0039213C"/>
    <w:rsid w:val="003A64BD"/>
    <w:rsid w:val="003B1EA0"/>
    <w:rsid w:val="003B4A5F"/>
    <w:rsid w:val="003D01EB"/>
    <w:rsid w:val="003D3003"/>
    <w:rsid w:val="003D4442"/>
    <w:rsid w:val="003D61FC"/>
    <w:rsid w:val="003F0425"/>
    <w:rsid w:val="0040128B"/>
    <w:rsid w:val="0040315F"/>
    <w:rsid w:val="00405934"/>
    <w:rsid w:val="00414915"/>
    <w:rsid w:val="00414D13"/>
    <w:rsid w:val="0041742F"/>
    <w:rsid w:val="004209BB"/>
    <w:rsid w:val="004235FC"/>
    <w:rsid w:val="00423F14"/>
    <w:rsid w:val="004266AC"/>
    <w:rsid w:val="004321AB"/>
    <w:rsid w:val="00434583"/>
    <w:rsid w:val="00435748"/>
    <w:rsid w:val="0043583A"/>
    <w:rsid w:val="00436F41"/>
    <w:rsid w:val="004371DD"/>
    <w:rsid w:val="00445FFD"/>
    <w:rsid w:val="00451CE2"/>
    <w:rsid w:val="00456847"/>
    <w:rsid w:val="00461B0E"/>
    <w:rsid w:val="00461C57"/>
    <w:rsid w:val="004708BA"/>
    <w:rsid w:val="004717D2"/>
    <w:rsid w:val="00471890"/>
    <w:rsid w:val="00477B63"/>
    <w:rsid w:val="00477F2B"/>
    <w:rsid w:val="004817C8"/>
    <w:rsid w:val="00492DB9"/>
    <w:rsid w:val="004B2CB1"/>
    <w:rsid w:val="004B40F0"/>
    <w:rsid w:val="004B6F67"/>
    <w:rsid w:val="004C3548"/>
    <w:rsid w:val="004C76A0"/>
    <w:rsid w:val="004D09B6"/>
    <w:rsid w:val="004D2BB2"/>
    <w:rsid w:val="004D78CA"/>
    <w:rsid w:val="004E1DB8"/>
    <w:rsid w:val="004E605F"/>
    <w:rsid w:val="004F0CDF"/>
    <w:rsid w:val="004F31E1"/>
    <w:rsid w:val="00500A82"/>
    <w:rsid w:val="00502C78"/>
    <w:rsid w:val="00503066"/>
    <w:rsid w:val="00506E57"/>
    <w:rsid w:val="005072C5"/>
    <w:rsid w:val="00510FD4"/>
    <w:rsid w:val="00513B65"/>
    <w:rsid w:val="00523A37"/>
    <w:rsid w:val="005304E4"/>
    <w:rsid w:val="00543E2E"/>
    <w:rsid w:val="00553D0F"/>
    <w:rsid w:val="005567CF"/>
    <w:rsid w:val="00561140"/>
    <w:rsid w:val="00564615"/>
    <w:rsid w:val="005650B0"/>
    <w:rsid w:val="00576C34"/>
    <w:rsid w:val="00580952"/>
    <w:rsid w:val="00580FE5"/>
    <w:rsid w:val="00582244"/>
    <w:rsid w:val="00587B1E"/>
    <w:rsid w:val="005B30C6"/>
    <w:rsid w:val="005C5773"/>
    <w:rsid w:val="005D19CF"/>
    <w:rsid w:val="005E32AC"/>
    <w:rsid w:val="005E408A"/>
    <w:rsid w:val="005F6464"/>
    <w:rsid w:val="005F7831"/>
    <w:rsid w:val="0060285C"/>
    <w:rsid w:val="00611E54"/>
    <w:rsid w:val="00613103"/>
    <w:rsid w:val="006131E0"/>
    <w:rsid w:val="00613E69"/>
    <w:rsid w:val="00616222"/>
    <w:rsid w:val="00623891"/>
    <w:rsid w:val="00626095"/>
    <w:rsid w:val="006349D5"/>
    <w:rsid w:val="0063649D"/>
    <w:rsid w:val="00637068"/>
    <w:rsid w:val="0064166E"/>
    <w:rsid w:val="00652567"/>
    <w:rsid w:val="00655DD3"/>
    <w:rsid w:val="00655E1A"/>
    <w:rsid w:val="00660174"/>
    <w:rsid w:val="00673386"/>
    <w:rsid w:val="00674B45"/>
    <w:rsid w:val="00675667"/>
    <w:rsid w:val="006762FE"/>
    <w:rsid w:val="00682492"/>
    <w:rsid w:val="00693217"/>
    <w:rsid w:val="006962D7"/>
    <w:rsid w:val="00697EB4"/>
    <w:rsid w:val="006A01D1"/>
    <w:rsid w:val="006A6D2F"/>
    <w:rsid w:val="006A74C4"/>
    <w:rsid w:val="006A751E"/>
    <w:rsid w:val="006B3FE2"/>
    <w:rsid w:val="006C0B79"/>
    <w:rsid w:val="006D1A2C"/>
    <w:rsid w:val="006D45DD"/>
    <w:rsid w:val="006D4D56"/>
    <w:rsid w:val="006F0AB8"/>
    <w:rsid w:val="006F16F3"/>
    <w:rsid w:val="006F1D50"/>
    <w:rsid w:val="006F3FBA"/>
    <w:rsid w:val="006F61A9"/>
    <w:rsid w:val="00701C33"/>
    <w:rsid w:val="007077B3"/>
    <w:rsid w:val="0071266C"/>
    <w:rsid w:val="00715AFA"/>
    <w:rsid w:val="00715DB9"/>
    <w:rsid w:val="0072027B"/>
    <w:rsid w:val="007209E5"/>
    <w:rsid w:val="0072187F"/>
    <w:rsid w:val="00726AB9"/>
    <w:rsid w:val="00730C51"/>
    <w:rsid w:val="0073524B"/>
    <w:rsid w:val="007529D7"/>
    <w:rsid w:val="00754A9C"/>
    <w:rsid w:val="00755D20"/>
    <w:rsid w:val="00756604"/>
    <w:rsid w:val="00756984"/>
    <w:rsid w:val="0076409F"/>
    <w:rsid w:val="00766E1C"/>
    <w:rsid w:val="00791B9B"/>
    <w:rsid w:val="00794ED2"/>
    <w:rsid w:val="00797D4A"/>
    <w:rsid w:val="007A117D"/>
    <w:rsid w:val="007A3D56"/>
    <w:rsid w:val="007A5677"/>
    <w:rsid w:val="007A5D27"/>
    <w:rsid w:val="007A69D4"/>
    <w:rsid w:val="007C19A3"/>
    <w:rsid w:val="007C2E01"/>
    <w:rsid w:val="007C2E80"/>
    <w:rsid w:val="007C507E"/>
    <w:rsid w:val="007D2E3E"/>
    <w:rsid w:val="007D42A0"/>
    <w:rsid w:val="007E669A"/>
    <w:rsid w:val="007F0C3F"/>
    <w:rsid w:val="007F6D3F"/>
    <w:rsid w:val="0080081F"/>
    <w:rsid w:val="00803BC2"/>
    <w:rsid w:val="00803EC6"/>
    <w:rsid w:val="00804EFE"/>
    <w:rsid w:val="00810360"/>
    <w:rsid w:val="00810CDE"/>
    <w:rsid w:val="0081139E"/>
    <w:rsid w:val="00826B55"/>
    <w:rsid w:val="00830C30"/>
    <w:rsid w:val="00831C55"/>
    <w:rsid w:val="00837007"/>
    <w:rsid w:val="00840377"/>
    <w:rsid w:val="00853E3A"/>
    <w:rsid w:val="008567FE"/>
    <w:rsid w:val="00863055"/>
    <w:rsid w:val="00867E26"/>
    <w:rsid w:val="00871DE4"/>
    <w:rsid w:val="0087485A"/>
    <w:rsid w:val="0088086A"/>
    <w:rsid w:val="00893E9D"/>
    <w:rsid w:val="008B1520"/>
    <w:rsid w:val="008D0E27"/>
    <w:rsid w:val="008D4705"/>
    <w:rsid w:val="008E3FE0"/>
    <w:rsid w:val="008F2F84"/>
    <w:rsid w:val="008F4BDB"/>
    <w:rsid w:val="00902419"/>
    <w:rsid w:val="00903298"/>
    <w:rsid w:val="00910D00"/>
    <w:rsid w:val="00911653"/>
    <w:rsid w:val="009148B6"/>
    <w:rsid w:val="00914CAD"/>
    <w:rsid w:val="00915812"/>
    <w:rsid w:val="009174EF"/>
    <w:rsid w:val="00917D67"/>
    <w:rsid w:val="00917FE9"/>
    <w:rsid w:val="00932AD6"/>
    <w:rsid w:val="00936193"/>
    <w:rsid w:val="00937FE0"/>
    <w:rsid w:val="0094108E"/>
    <w:rsid w:val="009454FA"/>
    <w:rsid w:val="00947862"/>
    <w:rsid w:val="00951BA9"/>
    <w:rsid w:val="0096297F"/>
    <w:rsid w:val="00964A0F"/>
    <w:rsid w:val="0096567F"/>
    <w:rsid w:val="0096588C"/>
    <w:rsid w:val="00967D81"/>
    <w:rsid w:val="00973A44"/>
    <w:rsid w:val="0097565D"/>
    <w:rsid w:val="0098143D"/>
    <w:rsid w:val="00982743"/>
    <w:rsid w:val="0098321A"/>
    <w:rsid w:val="00991396"/>
    <w:rsid w:val="0099426F"/>
    <w:rsid w:val="00994D8A"/>
    <w:rsid w:val="009B051D"/>
    <w:rsid w:val="009B5132"/>
    <w:rsid w:val="009B6916"/>
    <w:rsid w:val="009C22E5"/>
    <w:rsid w:val="009D49D8"/>
    <w:rsid w:val="009D59B2"/>
    <w:rsid w:val="009D5CF1"/>
    <w:rsid w:val="009D7FC0"/>
    <w:rsid w:val="009E62FD"/>
    <w:rsid w:val="009F41C8"/>
    <w:rsid w:val="009F59BD"/>
    <w:rsid w:val="00A0199E"/>
    <w:rsid w:val="00A02657"/>
    <w:rsid w:val="00A0344B"/>
    <w:rsid w:val="00A06014"/>
    <w:rsid w:val="00A129E9"/>
    <w:rsid w:val="00A22B94"/>
    <w:rsid w:val="00A22E78"/>
    <w:rsid w:val="00A25D4E"/>
    <w:rsid w:val="00A333A4"/>
    <w:rsid w:val="00A36FBD"/>
    <w:rsid w:val="00A40C1A"/>
    <w:rsid w:val="00A4198C"/>
    <w:rsid w:val="00A44F08"/>
    <w:rsid w:val="00A4701E"/>
    <w:rsid w:val="00A531D3"/>
    <w:rsid w:val="00A54FC1"/>
    <w:rsid w:val="00A5507C"/>
    <w:rsid w:val="00A62D9D"/>
    <w:rsid w:val="00A6689C"/>
    <w:rsid w:val="00A70068"/>
    <w:rsid w:val="00A73634"/>
    <w:rsid w:val="00A77ABD"/>
    <w:rsid w:val="00A82A3E"/>
    <w:rsid w:val="00A86AD6"/>
    <w:rsid w:val="00A872BE"/>
    <w:rsid w:val="00A941F9"/>
    <w:rsid w:val="00A96F60"/>
    <w:rsid w:val="00AA2175"/>
    <w:rsid w:val="00AC4739"/>
    <w:rsid w:val="00AC6EDA"/>
    <w:rsid w:val="00AD0663"/>
    <w:rsid w:val="00AD361D"/>
    <w:rsid w:val="00AD419F"/>
    <w:rsid w:val="00AD465B"/>
    <w:rsid w:val="00AF081D"/>
    <w:rsid w:val="00B12CAF"/>
    <w:rsid w:val="00B242B5"/>
    <w:rsid w:val="00B25A40"/>
    <w:rsid w:val="00B27969"/>
    <w:rsid w:val="00B30B2A"/>
    <w:rsid w:val="00B33952"/>
    <w:rsid w:val="00B33EBD"/>
    <w:rsid w:val="00B559E4"/>
    <w:rsid w:val="00B627F8"/>
    <w:rsid w:val="00B669FD"/>
    <w:rsid w:val="00B75ED4"/>
    <w:rsid w:val="00B76267"/>
    <w:rsid w:val="00B80A6E"/>
    <w:rsid w:val="00B82060"/>
    <w:rsid w:val="00B831F4"/>
    <w:rsid w:val="00B85958"/>
    <w:rsid w:val="00B862E1"/>
    <w:rsid w:val="00B86D20"/>
    <w:rsid w:val="00B90113"/>
    <w:rsid w:val="00B96A1F"/>
    <w:rsid w:val="00BA27A0"/>
    <w:rsid w:val="00BA29F3"/>
    <w:rsid w:val="00BA7793"/>
    <w:rsid w:val="00BB5096"/>
    <w:rsid w:val="00BB5A49"/>
    <w:rsid w:val="00BC0865"/>
    <w:rsid w:val="00BC1F40"/>
    <w:rsid w:val="00BC419D"/>
    <w:rsid w:val="00BD2924"/>
    <w:rsid w:val="00BD2AE2"/>
    <w:rsid w:val="00BD6955"/>
    <w:rsid w:val="00BE00CC"/>
    <w:rsid w:val="00BE560C"/>
    <w:rsid w:val="00BE5907"/>
    <w:rsid w:val="00BF2934"/>
    <w:rsid w:val="00BF7EED"/>
    <w:rsid w:val="00C01FC5"/>
    <w:rsid w:val="00C02578"/>
    <w:rsid w:val="00C10328"/>
    <w:rsid w:val="00C11CCA"/>
    <w:rsid w:val="00C2487D"/>
    <w:rsid w:val="00C248FA"/>
    <w:rsid w:val="00C311F5"/>
    <w:rsid w:val="00C3131E"/>
    <w:rsid w:val="00C31712"/>
    <w:rsid w:val="00C34853"/>
    <w:rsid w:val="00C439E0"/>
    <w:rsid w:val="00C456F9"/>
    <w:rsid w:val="00C464FC"/>
    <w:rsid w:val="00C46BBE"/>
    <w:rsid w:val="00C47399"/>
    <w:rsid w:val="00C6143E"/>
    <w:rsid w:val="00C6238D"/>
    <w:rsid w:val="00C64D58"/>
    <w:rsid w:val="00C74A9E"/>
    <w:rsid w:val="00C801A2"/>
    <w:rsid w:val="00C844DB"/>
    <w:rsid w:val="00C9305A"/>
    <w:rsid w:val="00CA5620"/>
    <w:rsid w:val="00CB3834"/>
    <w:rsid w:val="00CD261B"/>
    <w:rsid w:val="00CE0F7E"/>
    <w:rsid w:val="00CE134C"/>
    <w:rsid w:val="00CF65A7"/>
    <w:rsid w:val="00CF6F70"/>
    <w:rsid w:val="00D01CC9"/>
    <w:rsid w:val="00D02334"/>
    <w:rsid w:val="00D10C4C"/>
    <w:rsid w:val="00D1471A"/>
    <w:rsid w:val="00D1635E"/>
    <w:rsid w:val="00D22365"/>
    <w:rsid w:val="00D23736"/>
    <w:rsid w:val="00D249E5"/>
    <w:rsid w:val="00D25EB2"/>
    <w:rsid w:val="00D27218"/>
    <w:rsid w:val="00D31C8C"/>
    <w:rsid w:val="00D35D68"/>
    <w:rsid w:val="00D44E5E"/>
    <w:rsid w:val="00D53705"/>
    <w:rsid w:val="00D543B3"/>
    <w:rsid w:val="00D6235B"/>
    <w:rsid w:val="00D63FC3"/>
    <w:rsid w:val="00D65784"/>
    <w:rsid w:val="00D76139"/>
    <w:rsid w:val="00D76D10"/>
    <w:rsid w:val="00D8270D"/>
    <w:rsid w:val="00D94C03"/>
    <w:rsid w:val="00DA18DB"/>
    <w:rsid w:val="00DA2F87"/>
    <w:rsid w:val="00DA3A4E"/>
    <w:rsid w:val="00DA5F7F"/>
    <w:rsid w:val="00DA7C32"/>
    <w:rsid w:val="00DB5E12"/>
    <w:rsid w:val="00DF1026"/>
    <w:rsid w:val="00E01B31"/>
    <w:rsid w:val="00E07DBC"/>
    <w:rsid w:val="00E134F7"/>
    <w:rsid w:val="00E1367A"/>
    <w:rsid w:val="00E17391"/>
    <w:rsid w:val="00E20CB9"/>
    <w:rsid w:val="00E25D24"/>
    <w:rsid w:val="00E26526"/>
    <w:rsid w:val="00E26DB2"/>
    <w:rsid w:val="00E35CC7"/>
    <w:rsid w:val="00E426FB"/>
    <w:rsid w:val="00E44FF8"/>
    <w:rsid w:val="00E504CF"/>
    <w:rsid w:val="00E50A98"/>
    <w:rsid w:val="00E51124"/>
    <w:rsid w:val="00E51970"/>
    <w:rsid w:val="00E51FD2"/>
    <w:rsid w:val="00E54123"/>
    <w:rsid w:val="00E54151"/>
    <w:rsid w:val="00E63541"/>
    <w:rsid w:val="00E64A26"/>
    <w:rsid w:val="00E83900"/>
    <w:rsid w:val="00E9069B"/>
    <w:rsid w:val="00E91564"/>
    <w:rsid w:val="00E91F8D"/>
    <w:rsid w:val="00E93BE8"/>
    <w:rsid w:val="00E95618"/>
    <w:rsid w:val="00EA270F"/>
    <w:rsid w:val="00EA782E"/>
    <w:rsid w:val="00EB1F87"/>
    <w:rsid w:val="00EB475B"/>
    <w:rsid w:val="00ED66CD"/>
    <w:rsid w:val="00EE2C83"/>
    <w:rsid w:val="00EF64C4"/>
    <w:rsid w:val="00EF7856"/>
    <w:rsid w:val="00F13976"/>
    <w:rsid w:val="00F13E8B"/>
    <w:rsid w:val="00F2062A"/>
    <w:rsid w:val="00F34742"/>
    <w:rsid w:val="00F40B9E"/>
    <w:rsid w:val="00F42102"/>
    <w:rsid w:val="00F42910"/>
    <w:rsid w:val="00F46F0B"/>
    <w:rsid w:val="00F61396"/>
    <w:rsid w:val="00F6165A"/>
    <w:rsid w:val="00F6282F"/>
    <w:rsid w:val="00F63F41"/>
    <w:rsid w:val="00F66509"/>
    <w:rsid w:val="00F673D7"/>
    <w:rsid w:val="00F674A7"/>
    <w:rsid w:val="00F713B3"/>
    <w:rsid w:val="00F71FE5"/>
    <w:rsid w:val="00F8113C"/>
    <w:rsid w:val="00F85695"/>
    <w:rsid w:val="00F86AD5"/>
    <w:rsid w:val="00F93ECA"/>
    <w:rsid w:val="00F977D5"/>
    <w:rsid w:val="00FA1278"/>
    <w:rsid w:val="00FA752F"/>
    <w:rsid w:val="00FA7790"/>
    <w:rsid w:val="00FB1082"/>
    <w:rsid w:val="00FB5B99"/>
    <w:rsid w:val="00FB6773"/>
    <w:rsid w:val="00FC4844"/>
    <w:rsid w:val="00FC75E5"/>
    <w:rsid w:val="00FD1ECA"/>
    <w:rsid w:val="00FD4375"/>
    <w:rsid w:val="00FD584C"/>
    <w:rsid w:val="00FE0F13"/>
    <w:rsid w:val="00FE6BC8"/>
    <w:rsid w:val="00FF13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F952"/>
  <w15:chartTrackingRefBased/>
  <w15:docId w15:val="{CB2A8F71-18F1-4CA0-94B5-E982FD03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095A92"/>
    <w:pPr>
      <w:keepNext/>
      <w:keepLines/>
      <w:spacing w:after="0"/>
      <w:jc w:val="center"/>
      <w:outlineLvl w:val="0"/>
    </w:pPr>
    <w:rPr>
      <w:rFonts w:ascii="Times New Roman" w:eastAsia="Times New Roman" w:hAnsi="Times New Roman" w:cs="Times New Roman"/>
      <w:b/>
      <w:color w:val="000000"/>
      <w:kern w:val="0"/>
      <w:sz w:val="20"/>
      <w:lang w:eastAsia="pl-PL"/>
      <w14:ligatures w14:val="none"/>
    </w:rPr>
  </w:style>
  <w:style w:type="paragraph" w:styleId="Nagwek2">
    <w:name w:val="heading 2"/>
    <w:basedOn w:val="Normalny"/>
    <w:next w:val="Normalny"/>
    <w:link w:val="Nagwek2Znak"/>
    <w:uiPriority w:val="9"/>
    <w:unhideWhenUsed/>
    <w:qFormat/>
    <w:rsid w:val="007F0C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F0C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7F0C3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7F0C3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7F0C3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5A92"/>
    <w:rPr>
      <w:rFonts w:ascii="Times New Roman" w:eastAsia="Times New Roman" w:hAnsi="Times New Roman" w:cs="Times New Roman"/>
      <w:b/>
      <w:color w:val="000000"/>
      <w:kern w:val="0"/>
      <w:sz w:val="20"/>
      <w:lang w:eastAsia="pl-PL"/>
      <w14:ligatures w14:val="none"/>
    </w:rPr>
  </w:style>
  <w:style w:type="paragraph" w:customStyle="1" w:styleId="footnotedescription">
    <w:name w:val="footnote description"/>
    <w:next w:val="Normalny"/>
    <w:link w:val="footnotedescriptionChar"/>
    <w:hidden/>
    <w:rsid w:val="00095A92"/>
    <w:pPr>
      <w:spacing w:after="0"/>
      <w:jc w:val="both"/>
    </w:pPr>
    <w:rPr>
      <w:rFonts w:ascii="Times New Roman" w:eastAsia="Times New Roman" w:hAnsi="Times New Roman" w:cs="Times New Roman"/>
      <w:color w:val="000000"/>
      <w:kern w:val="0"/>
      <w:sz w:val="18"/>
      <w:lang w:eastAsia="pl-PL"/>
      <w14:ligatures w14:val="none"/>
    </w:rPr>
  </w:style>
  <w:style w:type="character" w:customStyle="1" w:styleId="footnotedescriptionChar">
    <w:name w:val="footnote description Char"/>
    <w:link w:val="footnotedescription"/>
    <w:rsid w:val="00095A92"/>
    <w:rPr>
      <w:rFonts w:ascii="Times New Roman" w:eastAsia="Times New Roman" w:hAnsi="Times New Roman" w:cs="Times New Roman"/>
      <w:color w:val="000000"/>
      <w:kern w:val="0"/>
      <w:sz w:val="18"/>
      <w:lang w:eastAsia="pl-PL"/>
      <w14:ligatures w14:val="none"/>
    </w:rPr>
  </w:style>
  <w:style w:type="character" w:customStyle="1" w:styleId="footnotemark">
    <w:name w:val="footnote mark"/>
    <w:hidden/>
    <w:rsid w:val="00095A92"/>
    <w:rPr>
      <w:rFonts w:ascii="Times New Roman" w:eastAsia="Times New Roman" w:hAnsi="Times New Roman" w:cs="Times New Roman"/>
      <w:color w:val="000000"/>
      <w:sz w:val="18"/>
      <w:vertAlign w:val="superscript"/>
    </w:rPr>
  </w:style>
  <w:style w:type="table" w:customStyle="1" w:styleId="TableGrid">
    <w:name w:val="TableGrid"/>
    <w:rsid w:val="00095A92"/>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paragraph" w:styleId="Akapitzlist">
    <w:name w:val="List Paragraph"/>
    <w:basedOn w:val="Normalny"/>
    <w:uiPriority w:val="34"/>
    <w:qFormat/>
    <w:rsid w:val="00580FE5"/>
    <w:pPr>
      <w:ind w:left="720"/>
      <w:contextualSpacing/>
    </w:pPr>
  </w:style>
  <w:style w:type="character" w:styleId="Hipercze">
    <w:name w:val="Hyperlink"/>
    <w:basedOn w:val="Domylnaczcionkaakapitu"/>
    <w:uiPriority w:val="99"/>
    <w:unhideWhenUsed/>
    <w:rsid w:val="004F0CDF"/>
    <w:rPr>
      <w:color w:val="0563C1" w:themeColor="hyperlink"/>
      <w:u w:val="single"/>
    </w:rPr>
  </w:style>
  <w:style w:type="character" w:styleId="Nierozpoznanawzmianka">
    <w:name w:val="Unresolved Mention"/>
    <w:basedOn w:val="Domylnaczcionkaakapitu"/>
    <w:uiPriority w:val="99"/>
    <w:semiHidden/>
    <w:unhideWhenUsed/>
    <w:rsid w:val="004F0CDF"/>
    <w:rPr>
      <w:color w:val="605E5C"/>
      <w:shd w:val="clear" w:color="auto" w:fill="E1DFDD"/>
    </w:rPr>
  </w:style>
  <w:style w:type="table" w:styleId="Tabela-Siatka">
    <w:name w:val="Table Grid"/>
    <w:basedOn w:val="Standardowy"/>
    <w:uiPriority w:val="39"/>
    <w:rsid w:val="00EB1F8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762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62FE"/>
    <w:rPr>
      <w:sz w:val="20"/>
      <w:szCs w:val="20"/>
    </w:rPr>
  </w:style>
  <w:style w:type="character" w:styleId="Odwoanieprzypisudolnego">
    <w:name w:val="footnote reference"/>
    <w:basedOn w:val="Domylnaczcionkaakapitu"/>
    <w:uiPriority w:val="99"/>
    <w:semiHidden/>
    <w:unhideWhenUsed/>
    <w:rsid w:val="006762FE"/>
    <w:rPr>
      <w:vertAlign w:val="superscript"/>
    </w:rPr>
  </w:style>
  <w:style w:type="paragraph" w:styleId="Nagwek">
    <w:name w:val="header"/>
    <w:basedOn w:val="Normalny"/>
    <w:link w:val="NagwekZnak"/>
    <w:uiPriority w:val="99"/>
    <w:unhideWhenUsed/>
    <w:rsid w:val="009D7F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FC0"/>
  </w:style>
  <w:style w:type="paragraph" w:styleId="Stopka">
    <w:name w:val="footer"/>
    <w:basedOn w:val="Normalny"/>
    <w:link w:val="StopkaZnak"/>
    <w:uiPriority w:val="99"/>
    <w:unhideWhenUsed/>
    <w:rsid w:val="009D7F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7FC0"/>
  </w:style>
  <w:style w:type="paragraph" w:styleId="Tekstprzypisukocowego">
    <w:name w:val="endnote text"/>
    <w:basedOn w:val="Normalny"/>
    <w:link w:val="TekstprzypisukocowegoZnak"/>
    <w:uiPriority w:val="99"/>
    <w:semiHidden/>
    <w:unhideWhenUsed/>
    <w:rsid w:val="009D7F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7FC0"/>
    <w:rPr>
      <w:sz w:val="20"/>
      <w:szCs w:val="20"/>
    </w:rPr>
  </w:style>
  <w:style w:type="character" w:styleId="Odwoanieprzypisukocowego">
    <w:name w:val="endnote reference"/>
    <w:basedOn w:val="Domylnaczcionkaakapitu"/>
    <w:uiPriority w:val="99"/>
    <w:semiHidden/>
    <w:unhideWhenUsed/>
    <w:rsid w:val="009D7FC0"/>
    <w:rPr>
      <w:vertAlign w:val="superscript"/>
    </w:rPr>
  </w:style>
  <w:style w:type="character" w:customStyle="1" w:styleId="Nagwek2Znak">
    <w:name w:val="Nagłówek 2 Znak"/>
    <w:basedOn w:val="Domylnaczcionkaakapitu"/>
    <w:link w:val="Nagwek2"/>
    <w:uiPriority w:val="9"/>
    <w:rsid w:val="007F0C3F"/>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F0C3F"/>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7F0C3F"/>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7F0C3F"/>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7F0C3F"/>
    <w:rPr>
      <w:rFonts w:asciiTheme="majorHAnsi" w:eastAsiaTheme="majorEastAsia" w:hAnsiTheme="majorHAnsi" w:cstheme="majorBidi"/>
      <w:color w:val="1F3763" w:themeColor="accent1" w:themeShade="7F"/>
    </w:rPr>
  </w:style>
  <w:style w:type="paragraph" w:styleId="Lista">
    <w:name w:val="List"/>
    <w:basedOn w:val="Normalny"/>
    <w:uiPriority w:val="99"/>
    <w:unhideWhenUsed/>
    <w:rsid w:val="007F0C3F"/>
    <w:pPr>
      <w:ind w:left="283" w:hanging="283"/>
      <w:contextualSpacing/>
    </w:pPr>
  </w:style>
  <w:style w:type="paragraph" w:styleId="Listapunktowana">
    <w:name w:val="List Bullet"/>
    <w:basedOn w:val="Normalny"/>
    <w:uiPriority w:val="99"/>
    <w:unhideWhenUsed/>
    <w:rsid w:val="007F0C3F"/>
    <w:pPr>
      <w:numPr>
        <w:numId w:val="23"/>
      </w:numPr>
      <w:contextualSpacing/>
    </w:pPr>
  </w:style>
  <w:style w:type="paragraph" w:styleId="Legenda">
    <w:name w:val="caption"/>
    <w:basedOn w:val="Normalny"/>
    <w:next w:val="Normalny"/>
    <w:uiPriority w:val="35"/>
    <w:unhideWhenUsed/>
    <w:qFormat/>
    <w:rsid w:val="007F0C3F"/>
    <w:pPr>
      <w:spacing w:after="200" w:line="240" w:lineRule="auto"/>
    </w:pPr>
    <w:rPr>
      <w:i/>
      <w:iCs/>
      <w:color w:val="44546A" w:themeColor="text2"/>
      <w:sz w:val="18"/>
      <w:szCs w:val="18"/>
    </w:rPr>
  </w:style>
  <w:style w:type="paragraph" w:styleId="Tekstpodstawowywcity">
    <w:name w:val="Body Text Indent"/>
    <w:basedOn w:val="Normalny"/>
    <w:link w:val="TekstpodstawowywcityZnak"/>
    <w:uiPriority w:val="99"/>
    <w:semiHidden/>
    <w:unhideWhenUsed/>
    <w:rsid w:val="007F0C3F"/>
    <w:pPr>
      <w:spacing w:after="120"/>
      <w:ind w:left="283"/>
    </w:pPr>
  </w:style>
  <w:style w:type="character" w:customStyle="1" w:styleId="TekstpodstawowywcityZnak">
    <w:name w:val="Tekst podstawowy wcięty Znak"/>
    <w:basedOn w:val="Domylnaczcionkaakapitu"/>
    <w:link w:val="Tekstpodstawowywcity"/>
    <w:uiPriority w:val="99"/>
    <w:semiHidden/>
    <w:rsid w:val="007F0C3F"/>
  </w:style>
  <w:style w:type="paragraph" w:styleId="Tekstpodstawowyzwciciem2">
    <w:name w:val="Body Text First Indent 2"/>
    <w:basedOn w:val="Tekstpodstawowywcity"/>
    <w:link w:val="Tekstpodstawowyzwciciem2Znak"/>
    <w:uiPriority w:val="99"/>
    <w:unhideWhenUsed/>
    <w:rsid w:val="007F0C3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7F0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5895">
      <w:bodyDiv w:val="1"/>
      <w:marLeft w:val="0"/>
      <w:marRight w:val="0"/>
      <w:marTop w:val="0"/>
      <w:marBottom w:val="0"/>
      <w:divBdr>
        <w:top w:val="none" w:sz="0" w:space="0" w:color="auto"/>
        <w:left w:val="none" w:sz="0" w:space="0" w:color="auto"/>
        <w:bottom w:val="none" w:sz="0" w:space="0" w:color="auto"/>
        <w:right w:val="none" w:sz="0" w:space="0" w:color="auto"/>
      </w:divBdr>
    </w:div>
    <w:div w:id="112330712">
      <w:bodyDiv w:val="1"/>
      <w:marLeft w:val="0"/>
      <w:marRight w:val="0"/>
      <w:marTop w:val="0"/>
      <w:marBottom w:val="0"/>
      <w:divBdr>
        <w:top w:val="none" w:sz="0" w:space="0" w:color="auto"/>
        <w:left w:val="none" w:sz="0" w:space="0" w:color="auto"/>
        <w:bottom w:val="none" w:sz="0" w:space="0" w:color="auto"/>
        <w:right w:val="none" w:sz="0" w:space="0" w:color="auto"/>
      </w:divBdr>
    </w:div>
    <w:div w:id="128982776">
      <w:bodyDiv w:val="1"/>
      <w:marLeft w:val="0"/>
      <w:marRight w:val="0"/>
      <w:marTop w:val="0"/>
      <w:marBottom w:val="0"/>
      <w:divBdr>
        <w:top w:val="none" w:sz="0" w:space="0" w:color="auto"/>
        <w:left w:val="none" w:sz="0" w:space="0" w:color="auto"/>
        <w:bottom w:val="none" w:sz="0" w:space="0" w:color="auto"/>
        <w:right w:val="none" w:sz="0" w:space="0" w:color="auto"/>
      </w:divBdr>
    </w:div>
    <w:div w:id="603268784">
      <w:bodyDiv w:val="1"/>
      <w:marLeft w:val="0"/>
      <w:marRight w:val="0"/>
      <w:marTop w:val="0"/>
      <w:marBottom w:val="0"/>
      <w:divBdr>
        <w:top w:val="none" w:sz="0" w:space="0" w:color="auto"/>
        <w:left w:val="none" w:sz="0" w:space="0" w:color="auto"/>
        <w:bottom w:val="none" w:sz="0" w:space="0" w:color="auto"/>
        <w:right w:val="none" w:sz="0" w:space="0" w:color="auto"/>
      </w:divBdr>
    </w:div>
    <w:div w:id="670060101">
      <w:bodyDiv w:val="1"/>
      <w:marLeft w:val="0"/>
      <w:marRight w:val="0"/>
      <w:marTop w:val="0"/>
      <w:marBottom w:val="0"/>
      <w:divBdr>
        <w:top w:val="none" w:sz="0" w:space="0" w:color="auto"/>
        <w:left w:val="none" w:sz="0" w:space="0" w:color="auto"/>
        <w:bottom w:val="none" w:sz="0" w:space="0" w:color="auto"/>
        <w:right w:val="none" w:sz="0" w:space="0" w:color="auto"/>
      </w:divBdr>
    </w:div>
    <w:div w:id="1197549296">
      <w:bodyDiv w:val="1"/>
      <w:marLeft w:val="0"/>
      <w:marRight w:val="0"/>
      <w:marTop w:val="0"/>
      <w:marBottom w:val="0"/>
      <w:divBdr>
        <w:top w:val="none" w:sz="0" w:space="0" w:color="auto"/>
        <w:left w:val="none" w:sz="0" w:space="0" w:color="auto"/>
        <w:bottom w:val="none" w:sz="0" w:space="0" w:color="auto"/>
        <w:right w:val="none" w:sz="0" w:space="0" w:color="auto"/>
      </w:divBdr>
    </w:div>
    <w:div w:id="1413114924">
      <w:bodyDiv w:val="1"/>
      <w:marLeft w:val="0"/>
      <w:marRight w:val="0"/>
      <w:marTop w:val="0"/>
      <w:marBottom w:val="0"/>
      <w:divBdr>
        <w:top w:val="none" w:sz="0" w:space="0" w:color="auto"/>
        <w:left w:val="none" w:sz="0" w:space="0" w:color="auto"/>
        <w:bottom w:val="none" w:sz="0" w:space="0" w:color="auto"/>
        <w:right w:val="none" w:sz="0" w:space="0" w:color="auto"/>
      </w:divBdr>
    </w:div>
    <w:div w:id="1434207123">
      <w:bodyDiv w:val="1"/>
      <w:marLeft w:val="0"/>
      <w:marRight w:val="0"/>
      <w:marTop w:val="0"/>
      <w:marBottom w:val="0"/>
      <w:divBdr>
        <w:top w:val="none" w:sz="0" w:space="0" w:color="auto"/>
        <w:left w:val="none" w:sz="0" w:space="0" w:color="auto"/>
        <w:bottom w:val="none" w:sz="0" w:space="0" w:color="auto"/>
        <w:right w:val="none" w:sz="0" w:space="0" w:color="auto"/>
      </w:divBdr>
    </w:div>
    <w:div w:id="1531643909">
      <w:bodyDiv w:val="1"/>
      <w:marLeft w:val="0"/>
      <w:marRight w:val="0"/>
      <w:marTop w:val="0"/>
      <w:marBottom w:val="0"/>
      <w:divBdr>
        <w:top w:val="none" w:sz="0" w:space="0" w:color="auto"/>
        <w:left w:val="none" w:sz="0" w:space="0" w:color="auto"/>
        <w:bottom w:val="none" w:sz="0" w:space="0" w:color="auto"/>
        <w:right w:val="none" w:sz="0" w:space="0" w:color="auto"/>
      </w:divBdr>
    </w:div>
    <w:div w:id="1583485019">
      <w:bodyDiv w:val="1"/>
      <w:marLeft w:val="0"/>
      <w:marRight w:val="0"/>
      <w:marTop w:val="0"/>
      <w:marBottom w:val="0"/>
      <w:divBdr>
        <w:top w:val="none" w:sz="0" w:space="0" w:color="auto"/>
        <w:left w:val="none" w:sz="0" w:space="0" w:color="auto"/>
        <w:bottom w:val="none" w:sz="0" w:space="0" w:color="auto"/>
        <w:right w:val="none" w:sz="0" w:space="0" w:color="auto"/>
      </w:divBdr>
    </w:div>
    <w:div w:id="1614021995">
      <w:bodyDiv w:val="1"/>
      <w:marLeft w:val="0"/>
      <w:marRight w:val="0"/>
      <w:marTop w:val="0"/>
      <w:marBottom w:val="0"/>
      <w:divBdr>
        <w:top w:val="none" w:sz="0" w:space="0" w:color="auto"/>
        <w:left w:val="none" w:sz="0" w:space="0" w:color="auto"/>
        <w:bottom w:val="none" w:sz="0" w:space="0" w:color="auto"/>
        <w:right w:val="none" w:sz="0" w:space="0" w:color="auto"/>
      </w:divBdr>
    </w:div>
    <w:div w:id="1634095489">
      <w:bodyDiv w:val="1"/>
      <w:marLeft w:val="0"/>
      <w:marRight w:val="0"/>
      <w:marTop w:val="0"/>
      <w:marBottom w:val="0"/>
      <w:divBdr>
        <w:top w:val="none" w:sz="0" w:space="0" w:color="auto"/>
        <w:left w:val="none" w:sz="0" w:space="0" w:color="auto"/>
        <w:bottom w:val="none" w:sz="0" w:space="0" w:color="auto"/>
        <w:right w:val="none" w:sz="0" w:space="0" w:color="auto"/>
      </w:divBdr>
    </w:div>
    <w:div w:id="1684085833">
      <w:bodyDiv w:val="1"/>
      <w:marLeft w:val="0"/>
      <w:marRight w:val="0"/>
      <w:marTop w:val="0"/>
      <w:marBottom w:val="0"/>
      <w:divBdr>
        <w:top w:val="none" w:sz="0" w:space="0" w:color="auto"/>
        <w:left w:val="none" w:sz="0" w:space="0" w:color="auto"/>
        <w:bottom w:val="none" w:sz="0" w:space="0" w:color="auto"/>
        <w:right w:val="none" w:sz="0" w:space="0" w:color="auto"/>
      </w:divBdr>
    </w:div>
    <w:div w:id="1921983028">
      <w:bodyDiv w:val="1"/>
      <w:marLeft w:val="0"/>
      <w:marRight w:val="0"/>
      <w:marTop w:val="0"/>
      <w:marBottom w:val="0"/>
      <w:divBdr>
        <w:top w:val="none" w:sz="0" w:space="0" w:color="auto"/>
        <w:left w:val="none" w:sz="0" w:space="0" w:color="auto"/>
        <w:bottom w:val="none" w:sz="0" w:space="0" w:color="auto"/>
        <w:right w:val="none" w:sz="0" w:space="0" w:color="auto"/>
      </w:divBdr>
    </w:div>
    <w:div w:id="1935047239">
      <w:bodyDiv w:val="1"/>
      <w:marLeft w:val="0"/>
      <w:marRight w:val="0"/>
      <w:marTop w:val="0"/>
      <w:marBottom w:val="0"/>
      <w:divBdr>
        <w:top w:val="none" w:sz="0" w:space="0" w:color="auto"/>
        <w:left w:val="none" w:sz="0" w:space="0" w:color="auto"/>
        <w:bottom w:val="none" w:sz="0" w:space="0" w:color="auto"/>
        <w:right w:val="none" w:sz="0" w:space="0" w:color="auto"/>
      </w:divBdr>
    </w:div>
    <w:div w:id="1936287012">
      <w:bodyDiv w:val="1"/>
      <w:marLeft w:val="0"/>
      <w:marRight w:val="0"/>
      <w:marTop w:val="0"/>
      <w:marBottom w:val="0"/>
      <w:divBdr>
        <w:top w:val="none" w:sz="0" w:space="0" w:color="auto"/>
        <w:left w:val="none" w:sz="0" w:space="0" w:color="auto"/>
        <w:bottom w:val="none" w:sz="0" w:space="0" w:color="auto"/>
        <w:right w:val="none" w:sz="0" w:space="0" w:color="auto"/>
      </w:divBdr>
    </w:div>
    <w:div w:id="194510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p.bialysto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p.bialystok.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bialystok.pl/" TargetMode="External"/><Relationship Id="rId5" Type="http://schemas.openxmlformats.org/officeDocument/2006/relationships/webSettings" Target="webSettings.xml"/><Relationship Id="rId15" Type="http://schemas.openxmlformats.org/officeDocument/2006/relationships/hyperlink" Target="https://www.isok.gov.pl/hydroportal.html" TargetMode="External"/><Relationship Id="rId10" Type="http://schemas.openxmlformats.org/officeDocument/2006/relationships/hyperlink" Target="http://www.bialysto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p.bialystok.pl" TargetMode="External"/><Relationship Id="rId14" Type="http://schemas.openxmlformats.org/officeDocument/2006/relationships/hyperlink" Target="https://www.bip.bialystok.pl/finanse/budzet_mias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63D1A-25D1-4092-874A-AE7D12E3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8982</TotalTime>
  <Pages>25</Pages>
  <Words>13445</Words>
  <Characters>80673</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Kombinat</dc:creator>
  <cp:keywords/>
  <dc:description/>
  <cp:lastModifiedBy>Kombinat</cp:lastModifiedBy>
  <cp:revision>204</cp:revision>
  <cp:lastPrinted>2025-08-01T06:30:00Z</cp:lastPrinted>
  <dcterms:created xsi:type="dcterms:W3CDTF">2023-04-17T12:00:00Z</dcterms:created>
  <dcterms:modified xsi:type="dcterms:W3CDTF">2025-08-20T09:32:00Z</dcterms:modified>
</cp:coreProperties>
</file>